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F3" w:rsidRPr="00E567F3" w:rsidRDefault="00E567F3" w:rsidP="00E567F3">
      <w:pPr>
        <w:snapToGrid w:val="0"/>
        <w:spacing w:line="360" w:lineRule="auto"/>
        <w:ind w:left="705" w:hangingChars="220" w:hanging="705"/>
        <w:jc w:val="center"/>
        <w:rPr>
          <w:rFonts w:eastAsia="標楷體" w:hint="eastAsia"/>
          <w:b/>
          <w:sz w:val="32"/>
          <w:szCs w:val="32"/>
        </w:rPr>
      </w:pPr>
      <w:r>
        <w:rPr>
          <w:rFonts w:eastAsia="標楷體" w:hint="eastAsia"/>
          <w:b/>
          <w:sz w:val="32"/>
          <w:szCs w:val="32"/>
        </w:rPr>
        <w:t>「</w:t>
      </w:r>
      <w:r w:rsidRPr="00E567F3">
        <w:rPr>
          <w:rFonts w:eastAsia="標楷體" w:hint="eastAsia"/>
          <w:b/>
          <w:sz w:val="32"/>
          <w:szCs w:val="32"/>
        </w:rPr>
        <w:t>核能研究所對外放射性廢棄物接收處理注意事項</w:t>
      </w:r>
      <w:r>
        <w:rPr>
          <w:rFonts w:eastAsia="標楷體" w:hint="eastAsia"/>
          <w:b/>
          <w:sz w:val="32"/>
          <w:szCs w:val="32"/>
        </w:rPr>
        <w:t>」</w:t>
      </w:r>
      <w:r w:rsidRPr="00E567F3">
        <w:rPr>
          <w:rFonts w:eastAsia="標楷體" w:hint="eastAsia"/>
          <w:b/>
          <w:sz w:val="32"/>
          <w:szCs w:val="32"/>
        </w:rPr>
        <w:t>摘要</w:t>
      </w:r>
    </w:p>
    <w:p w:rsidR="00E567F3" w:rsidRPr="00E567F3" w:rsidRDefault="00E567F3" w:rsidP="00E567F3">
      <w:pPr>
        <w:snapToGrid w:val="0"/>
        <w:spacing w:line="360" w:lineRule="auto"/>
        <w:ind w:left="440" w:hangingChars="220" w:hanging="440"/>
        <w:jc w:val="right"/>
        <w:rPr>
          <w:rFonts w:eastAsia="標楷體" w:hint="eastAsia"/>
          <w:sz w:val="20"/>
        </w:rPr>
      </w:pPr>
      <w:r w:rsidRPr="00E567F3">
        <w:rPr>
          <w:rFonts w:eastAsia="標楷體" w:hint="eastAsia"/>
          <w:sz w:val="20"/>
        </w:rPr>
        <w:t>台大環安衛中心</w:t>
      </w:r>
      <w:r w:rsidR="00D4151D">
        <w:rPr>
          <w:rFonts w:eastAsia="標楷體" w:hint="eastAsia"/>
          <w:sz w:val="20"/>
        </w:rPr>
        <w:t xml:space="preserve"> 98</w:t>
      </w:r>
      <w:r>
        <w:rPr>
          <w:rFonts w:eastAsia="標楷體" w:hint="eastAsia"/>
          <w:sz w:val="20"/>
        </w:rPr>
        <w:t>.</w:t>
      </w:r>
      <w:r w:rsidR="00D4151D">
        <w:rPr>
          <w:rFonts w:eastAsia="標楷體" w:hint="eastAsia"/>
          <w:sz w:val="20"/>
        </w:rPr>
        <w:t>05</w:t>
      </w:r>
    </w:p>
    <w:p w:rsidR="00B97347" w:rsidRPr="00E567F3" w:rsidRDefault="000D3E9D" w:rsidP="00E567F3">
      <w:pPr>
        <w:snapToGrid w:val="0"/>
        <w:spacing w:line="360" w:lineRule="auto"/>
        <w:ind w:left="529" w:hangingChars="220" w:hanging="529"/>
        <w:jc w:val="both"/>
        <w:rPr>
          <w:rFonts w:eastAsia="標楷體"/>
          <w:b/>
          <w:szCs w:val="24"/>
        </w:rPr>
      </w:pPr>
      <w:r w:rsidRPr="00E567F3">
        <w:rPr>
          <w:rFonts w:eastAsia="標楷體" w:hint="eastAsia"/>
          <w:b/>
          <w:szCs w:val="24"/>
        </w:rPr>
        <w:t>一、</w:t>
      </w:r>
      <w:r w:rsidR="00B97347" w:rsidRPr="00E567F3">
        <w:rPr>
          <w:rFonts w:eastAsia="標楷體" w:hint="eastAsia"/>
          <w:b/>
          <w:szCs w:val="24"/>
        </w:rPr>
        <w:t>、放射性廢棄物應符合下列條件：</w:t>
      </w:r>
    </w:p>
    <w:p w:rsidR="00B97347" w:rsidRPr="00E567F3" w:rsidRDefault="00B97347" w:rsidP="00E567F3">
      <w:pPr>
        <w:autoSpaceDE w:val="0"/>
        <w:autoSpaceDN w:val="0"/>
        <w:adjustRightInd w:val="0"/>
        <w:snapToGrid w:val="0"/>
        <w:spacing w:line="360" w:lineRule="auto"/>
        <w:ind w:rightChars="50" w:right="120" w:firstLineChars="110" w:firstLine="264"/>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一</w:t>
      </w:r>
      <w:r w:rsidRPr="00E567F3">
        <w:rPr>
          <w:rFonts w:eastAsia="標楷體" w:hint="eastAsia"/>
          <w:kern w:val="0"/>
          <w:szCs w:val="24"/>
        </w:rPr>
        <w:t xml:space="preserve">) </w:t>
      </w:r>
      <w:r w:rsidRPr="00E567F3">
        <w:rPr>
          <w:rFonts w:eastAsia="標楷體" w:hint="eastAsia"/>
          <w:kern w:val="0"/>
          <w:szCs w:val="24"/>
        </w:rPr>
        <w:t>不得含有高揮發性易燃物、易爆物、毒性物質。</w:t>
      </w:r>
    </w:p>
    <w:p w:rsidR="00B97347" w:rsidRPr="00E567F3" w:rsidRDefault="00B97347" w:rsidP="00E567F3">
      <w:pPr>
        <w:autoSpaceDE w:val="0"/>
        <w:autoSpaceDN w:val="0"/>
        <w:adjustRightInd w:val="0"/>
        <w:snapToGrid w:val="0"/>
        <w:spacing w:line="360" w:lineRule="auto"/>
        <w:ind w:leftChars="129" w:left="860" w:rightChars="-11" w:right="-26" w:hangingChars="229" w:hanging="550"/>
        <w:jc w:val="both"/>
        <w:rPr>
          <w:rFonts w:eastAsia="標楷體" w:hint="eastAsia"/>
          <w:color w:val="000000"/>
          <w:kern w:val="0"/>
          <w:szCs w:val="24"/>
        </w:rPr>
      </w:pPr>
      <w:r w:rsidRPr="00E567F3">
        <w:rPr>
          <w:rFonts w:eastAsia="標楷體" w:hint="eastAsia"/>
          <w:kern w:val="0"/>
          <w:szCs w:val="24"/>
        </w:rPr>
        <w:t>(</w:t>
      </w:r>
      <w:r w:rsidRPr="00E567F3">
        <w:rPr>
          <w:rFonts w:eastAsia="標楷體" w:hint="eastAsia"/>
          <w:kern w:val="0"/>
          <w:szCs w:val="24"/>
        </w:rPr>
        <w:t>二</w:t>
      </w:r>
      <w:r w:rsidRPr="00E567F3">
        <w:rPr>
          <w:rFonts w:eastAsia="標楷體" w:hint="eastAsia"/>
          <w:kern w:val="0"/>
          <w:szCs w:val="24"/>
        </w:rPr>
        <w:t xml:space="preserve">) </w:t>
      </w:r>
      <w:r w:rsidRPr="00E567F3">
        <w:rPr>
          <w:rFonts w:eastAsia="標楷體" w:hint="eastAsia"/>
          <w:kern w:val="0"/>
          <w:szCs w:val="24"/>
        </w:rPr>
        <w:t>固體廢棄物</w:t>
      </w:r>
      <w:r w:rsidRPr="00E567F3">
        <w:rPr>
          <w:rFonts w:eastAsia="標楷體" w:hint="eastAsia"/>
          <w:kern w:val="0"/>
          <w:szCs w:val="24"/>
        </w:rPr>
        <w:t>(</w:t>
      </w:r>
      <w:r w:rsidRPr="00E567F3">
        <w:rPr>
          <w:rFonts w:eastAsia="標楷體" w:hint="eastAsia"/>
          <w:kern w:val="0"/>
          <w:szCs w:val="24"/>
        </w:rPr>
        <w:t>除含α核種廢棄物外</w:t>
      </w:r>
      <w:r w:rsidRPr="00E567F3">
        <w:rPr>
          <w:rFonts w:eastAsia="標楷體" w:hint="eastAsia"/>
          <w:kern w:val="0"/>
          <w:szCs w:val="24"/>
        </w:rPr>
        <w:t>)</w:t>
      </w:r>
      <w:r w:rsidRPr="00E567F3">
        <w:rPr>
          <w:rFonts w:eastAsia="標楷體" w:hint="eastAsia"/>
          <w:kern w:val="0"/>
          <w:szCs w:val="24"/>
        </w:rPr>
        <w:t>中之α核種個別比活度</w:t>
      </w:r>
      <w:r w:rsidRPr="00E567F3">
        <w:rPr>
          <w:rFonts w:eastAsia="標楷體" w:hint="eastAsia"/>
          <w:color w:val="000000"/>
          <w:kern w:val="0"/>
          <w:szCs w:val="24"/>
        </w:rPr>
        <w:t>須小於輻射源豁免管制標準中之豁免管制量。</w:t>
      </w:r>
    </w:p>
    <w:p w:rsidR="00B97347" w:rsidRPr="00E567F3" w:rsidRDefault="00B97347" w:rsidP="00E567F3">
      <w:pPr>
        <w:autoSpaceDE w:val="0"/>
        <w:autoSpaceDN w:val="0"/>
        <w:adjustRightInd w:val="0"/>
        <w:snapToGrid w:val="0"/>
        <w:spacing w:line="360" w:lineRule="auto"/>
        <w:ind w:leftChars="129" w:left="860" w:rightChars="50" w:right="120" w:hangingChars="229" w:hanging="550"/>
        <w:jc w:val="both"/>
        <w:rPr>
          <w:rFonts w:eastAsia="標楷體" w:hint="eastAsia"/>
          <w:kern w:val="0"/>
          <w:szCs w:val="24"/>
        </w:rPr>
      </w:pPr>
      <w:r w:rsidRPr="00E567F3">
        <w:rPr>
          <w:rFonts w:eastAsia="標楷體" w:hint="eastAsia"/>
          <w:kern w:val="0"/>
          <w:szCs w:val="24"/>
        </w:rPr>
        <w:t>(</w:t>
      </w:r>
      <w:r w:rsidRPr="00E567F3">
        <w:rPr>
          <w:rFonts w:eastAsia="標楷體" w:hint="eastAsia"/>
          <w:kern w:val="0"/>
          <w:szCs w:val="24"/>
        </w:rPr>
        <w:t>三</w:t>
      </w:r>
      <w:r w:rsidRPr="00E567F3">
        <w:rPr>
          <w:rFonts w:eastAsia="標楷體" w:hint="eastAsia"/>
          <w:kern w:val="0"/>
          <w:szCs w:val="24"/>
        </w:rPr>
        <w:t xml:space="preserve">) </w:t>
      </w:r>
      <w:r w:rsidRPr="00E567F3">
        <w:rPr>
          <w:rFonts w:eastAsia="標楷體" w:hint="eastAsia"/>
          <w:kern w:val="0"/>
          <w:szCs w:val="24"/>
        </w:rPr>
        <w:t>不得混合廢棄密封射源。</w:t>
      </w:r>
    </w:p>
    <w:p w:rsidR="00B97347" w:rsidRPr="00E567F3" w:rsidRDefault="00B97347" w:rsidP="00E567F3">
      <w:pPr>
        <w:autoSpaceDE w:val="0"/>
        <w:autoSpaceDN w:val="0"/>
        <w:adjustRightInd w:val="0"/>
        <w:snapToGrid w:val="0"/>
        <w:spacing w:line="360" w:lineRule="auto"/>
        <w:ind w:leftChars="129" w:left="860" w:rightChars="50" w:right="120" w:hangingChars="229" w:hanging="550"/>
        <w:jc w:val="both"/>
        <w:rPr>
          <w:rFonts w:eastAsia="標楷體" w:hint="eastAsia"/>
          <w:kern w:val="0"/>
          <w:szCs w:val="24"/>
        </w:rPr>
      </w:pPr>
      <w:r w:rsidRPr="00E567F3">
        <w:rPr>
          <w:rFonts w:eastAsia="標楷體" w:hint="eastAsia"/>
          <w:kern w:val="0"/>
          <w:szCs w:val="24"/>
        </w:rPr>
        <w:t>(</w:t>
      </w:r>
      <w:r w:rsidRPr="00E567F3">
        <w:rPr>
          <w:rFonts w:eastAsia="標楷體" w:hint="eastAsia"/>
          <w:kern w:val="0"/>
          <w:szCs w:val="24"/>
        </w:rPr>
        <w:t>四</w:t>
      </w:r>
      <w:r w:rsidRPr="00E567F3">
        <w:rPr>
          <w:rFonts w:eastAsia="標楷體" w:hint="eastAsia"/>
          <w:kern w:val="0"/>
          <w:szCs w:val="24"/>
        </w:rPr>
        <w:t xml:space="preserve">) </w:t>
      </w:r>
      <w:r w:rsidRPr="00E567F3">
        <w:rPr>
          <w:rFonts w:eastAsia="標楷體" w:hint="eastAsia"/>
          <w:kern w:val="0"/>
          <w:szCs w:val="24"/>
        </w:rPr>
        <w:t>含氚廢棄物不得與其他廢棄物混合，須單獨收集包裝。</w:t>
      </w:r>
    </w:p>
    <w:p w:rsidR="00B97347" w:rsidRPr="00E567F3" w:rsidRDefault="00B97347" w:rsidP="00E567F3">
      <w:pPr>
        <w:autoSpaceDE w:val="0"/>
        <w:autoSpaceDN w:val="0"/>
        <w:adjustRightInd w:val="0"/>
        <w:snapToGrid w:val="0"/>
        <w:spacing w:line="360" w:lineRule="auto"/>
        <w:ind w:leftChars="129" w:left="860" w:rightChars="50" w:right="120" w:hangingChars="229" w:hanging="550"/>
        <w:jc w:val="both"/>
        <w:rPr>
          <w:rFonts w:eastAsia="標楷體" w:hint="eastAsia"/>
          <w:kern w:val="0"/>
          <w:szCs w:val="24"/>
        </w:rPr>
      </w:pPr>
      <w:r w:rsidRPr="00E567F3">
        <w:rPr>
          <w:rFonts w:eastAsia="標楷體" w:hint="eastAsia"/>
          <w:kern w:val="0"/>
          <w:szCs w:val="24"/>
        </w:rPr>
        <w:t>(</w:t>
      </w:r>
      <w:r w:rsidRPr="00E567F3">
        <w:rPr>
          <w:rFonts w:eastAsia="標楷體" w:hint="eastAsia"/>
          <w:kern w:val="0"/>
          <w:szCs w:val="24"/>
        </w:rPr>
        <w:t>五</w:t>
      </w:r>
      <w:r w:rsidRPr="00E567F3">
        <w:rPr>
          <w:rFonts w:eastAsia="標楷體" w:hint="eastAsia"/>
          <w:kern w:val="0"/>
          <w:szCs w:val="24"/>
        </w:rPr>
        <w:t xml:space="preserve">) </w:t>
      </w:r>
      <w:r w:rsidRPr="00E567F3">
        <w:rPr>
          <w:rFonts w:eastAsia="標楷體" w:hint="eastAsia"/>
          <w:kern w:val="0"/>
          <w:szCs w:val="24"/>
        </w:rPr>
        <w:t>含α核種廢棄物不得與其他廢棄物混合，須單獨收集包裝。</w:t>
      </w:r>
    </w:p>
    <w:p w:rsidR="00B97347" w:rsidRPr="00E567F3" w:rsidRDefault="000D3E9D" w:rsidP="00E567F3">
      <w:pPr>
        <w:snapToGrid w:val="0"/>
        <w:spacing w:line="360" w:lineRule="auto"/>
        <w:ind w:left="529" w:hangingChars="220" w:hanging="529"/>
        <w:jc w:val="both"/>
        <w:rPr>
          <w:rFonts w:eastAsia="標楷體" w:hint="eastAsia"/>
          <w:b/>
          <w:kern w:val="0"/>
          <w:szCs w:val="24"/>
        </w:rPr>
      </w:pPr>
      <w:r w:rsidRPr="00E567F3">
        <w:rPr>
          <w:rFonts w:eastAsia="標楷體" w:hint="eastAsia"/>
          <w:b/>
          <w:kern w:val="0"/>
          <w:szCs w:val="24"/>
        </w:rPr>
        <w:t>二</w:t>
      </w:r>
      <w:r w:rsidR="00B97347" w:rsidRPr="00E567F3">
        <w:rPr>
          <w:rFonts w:eastAsia="標楷體" w:hint="eastAsia"/>
          <w:b/>
          <w:kern w:val="0"/>
          <w:szCs w:val="24"/>
        </w:rPr>
        <w:t>、</w:t>
      </w:r>
      <w:r w:rsidRPr="00E567F3">
        <w:rPr>
          <w:rFonts w:eastAsia="標楷體" w:hint="eastAsia"/>
          <w:b/>
          <w:bCs/>
          <w:kern w:val="0"/>
          <w:szCs w:val="24"/>
        </w:rPr>
        <w:t>固體廢</w:t>
      </w:r>
      <w:r w:rsidRPr="00E567F3">
        <w:rPr>
          <w:rFonts w:eastAsia="標楷體" w:hint="eastAsia"/>
          <w:b/>
          <w:bCs/>
          <w:szCs w:val="24"/>
        </w:rPr>
        <w:t>棄物</w:t>
      </w:r>
      <w:r w:rsidR="00B97347" w:rsidRPr="00E567F3">
        <w:rPr>
          <w:rFonts w:eastAsia="標楷體" w:hint="eastAsia"/>
          <w:b/>
          <w:szCs w:val="24"/>
        </w:rPr>
        <w:t>分類</w:t>
      </w:r>
    </w:p>
    <w:p w:rsidR="00B97347" w:rsidRPr="00E567F3" w:rsidRDefault="00A93E5D" w:rsidP="00A93E5D">
      <w:pPr>
        <w:autoSpaceDE w:val="0"/>
        <w:autoSpaceDN w:val="0"/>
        <w:adjustRightInd w:val="0"/>
        <w:snapToGrid w:val="0"/>
        <w:spacing w:line="360" w:lineRule="auto"/>
        <w:rPr>
          <w:rFonts w:eastAsia="標楷體"/>
          <w:kern w:val="0"/>
          <w:szCs w:val="24"/>
        </w:rPr>
      </w:pPr>
      <w:r>
        <w:rPr>
          <w:rFonts w:eastAsia="標楷體" w:hint="eastAsia"/>
          <w:kern w:val="0"/>
          <w:szCs w:val="24"/>
        </w:rPr>
        <w:t xml:space="preserve">       </w:t>
      </w:r>
      <w:r w:rsidR="00B97347" w:rsidRPr="00E567F3">
        <w:rPr>
          <w:rFonts w:eastAsia="標楷體" w:hint="eastAsia"/>
          <w:kern w:val="0"/>
          <w:szCs w:val="24"/>
        </w:rPr>
        <w:t>固體廢</w:t>
      </w:r>
      <w:r w:rsidR="00B97347" w:rsidRPr="00E567F3">
        <w:rPr>
          <w:rFonts w:eastAsia="標楷體" w:hint="eastAsia"/>
          <w:szCs w:val="24"/>
        </w:rPr>
        <w:t>棄物</w:t>
      </w:r>
      <w:r w:rsidR="00B97347" w:rsidRPr="00E567F3">
        <w:rPr>
          <w:rFonts w:eastAsia="標楷體" w:hint="eastAsia"/>
          <w:kern w:val="0"/>
          <w:szCs w:val="24"/>
        </w:rPr>
        <w:t>應按可燃性及非燃</w:t>
      </w:r>
      <w:r w:rsidR="00B97347" w:rsidRPr="00E567F3">
        <w:rPr>
          <w:rFonts w:eastAsia="標楷體" w:hint="eastAsia"/>
          <w:color w:val="000000"/>
          <w:kern w:val="0"/>
          <w:szCs w:val="24"/>
        </w:rPr>
        <w:t>性（</w:t>
      </w:r>
      <w:hyperlink w:anchor="表三" w:history="1">
        <w:r w:rsidR="00B97347" w:rsidRPr="00E567F3">
          <w:rPr>
            <w:rStyle w:val="a3"/>
            <w:rFonts w:eastAsia="標楷體" w:hint="eastAsia"/>
            <w:kern w:val="0"/>
            <w:szCs w:val="24"/>
          </w:rPr>
          <w:t>如</w:t>
        </w:r>
        <w:r w:rsidR="002911F3">
          <w:rPr>
            <w:rStyle w:val="a3"/>
            <w:rFonts w:eastAsia="標楷體" w:hint="eastAsia"/>
            <w:kern w:val="0"/>
            <w:szCs w:val="24"/>
          </w:rPr>
          <w:t>附</w:t>
        </w:r>
        <w:r w:rsidR="00B97347" w:rsidRPr="00E567F3">
          <w:rPr>
            <w:rStyle w:val="a3"/>
            <w:rFonts w:eastAsia="標楷體" w:hint="eastAsia"/>
            <w:kern w:val="0"/>
            <w:szCs w:val="24"/>
          </w:rPr>
          <w:t>表</w:t>
        </w:r>
      </w:hyperlink>
      <w:r w:rsidR="00B97347" w:rsidRPr="00E567F3">
        <w:rPr>
          <w:rFonts w:eastAsia="標楷體" w:hint="eastAsia"/>
          <w:color w:val="000000"/>
          <w:kern w:val="0"/>
          <w:szCs w:val="24"/>
        </w:rPr>
        <w:t>）分別</w:t>
      </w:r>
      <w:r w:rsidR="00B97347" w:rsidRPr="00E567F3">
        <w:rPr>
          <w:rFonts w:eastAsia="標楷體" w:hint="eastAsia"/>
          <w:kern w:val="0"/>
          <w:szCs w:val="24"/>
        </w:rPr>
        <w:t>收集包裝。</w:t>
      </w:r>
    </w:p>
    <w:p w:rsidR="00B97347" w:rsidRPr="00E567F3" w:rsidRDefault="00B97347" w:rsidP="00E567F3">
      <w:pPr>
        <w:autoSpaceDE w:val="0"/>
        <w:autoSpaceDN w:val="0"/>
        <w:adjustRightInd w:val="0"/>
        <w:snapToGrid w:val="0"/>
        <w:spacing w:line="360" w:lineRule="auto"/>
        <w:ind w:leftChars="129" w:left="869" w:rightChars="-20" w:right="-48" w:hangingChars="229" w:hanging="559"/>
        <w:jc w:val="both"/>
        <w:rPr>
          <w:rFonts w:eastAsia="標楷體" w:hint="eastAsia"/>
          <w:spacing w:val="2"/>
          <w:kern w:val="0"/>
          <w:szCs w:val="24"/>
        </w:rPr>
      </w:pPr>
      <w:r w:rsidRPr="00E567F3">
        <w:rPr>
          <w:rFonts w:eastAsia="標楷體" w:hint="eastAsia"/>
          <w:spacing w:val="2"/>
          <w:kern w:val="0"/>
          <w:szCs w:val="24"/>
        </w:rPr>
        <w:t>(</w:t>
      </w:r>
      <w:r w:rsidRPr="00E567F3">
        <w:rPr>
          <w:rFonts w:eastAsia="標楷體" w:hint="eastAsia"/>
          <w:spacing w:val="2"/>
          <w:kern w:val="0"/>
          <w:szCs w:val="24"/>
        </w:rPr>
        <w:t>一</w:t>
      </w:r>
      <w:r w:rsidRPr="00E567F3">
        <w:rPr>
          <w:rFonts w:eastAsia="標楷體" w:hint="eastAsia"/>
          <w:spacing w:val="2"/>
          <w:kern w:val="0"/>
          <w:szCs w:val="24"/>
        </w:rPr>
        <w:t xml:space="preserve">) </w:t>
      </w:r>
      <w:r w:rsidRPr="00E567F3">
        <w:rPr>
          <w:rFonts w:eastAsia="標楷體" w:hint="eastAsia"/>
          <w:spacing w:val="2"/>
          <w:kern w:val="0"/>
          <w:szCs w:val="24"/>
        </w:rPr>
        <w:t>可燃性固體放射性廢</w:t>
      </w:r>
      <w:r w:rsidRPr="00E567F3">
        <w:rPr>
          <w:rFonts w:eastAsia="標楷體" w:hint="eastAsia"/>
          <w:szCs w:val="24"/>
        </w:rPr>
        <w:t>棄物</w:t>
      </w:r>
      <w:r w:rsidRPr="00E567F3">
        <w:rPr>
          <w:rFonts w:eastAsia="標楷體" w:hint="eastAsia"/>
          <w:spacing w:val="2"/>
          <w:kern w:val="0"/>
          <w:szCs w:val="24"/>
        </w:rPr>
        <w:t>分為</w:t>
      </w:r>
      <w:r w:rsidRPr="00E567F3">
        <w:rPr>
          <w:rFonts w:eastAsia="標楷體" w:hint="eastAsia"/>
          <w:kern w:val="0"/>
          <w:szCs w:val="24"/>
        </w:rPr>
        <w:t>：</w:t>
      </w:r>
      <w:r w:rsidRPr="00E567F3">
        <w:rPr>
          <w:rFonts w:eastAsia="標楷體" w:hint="eastAsia"/>
          <w:spacing w:val="2"/>
          <w:kern w:val="0"/>
          <w:szCs w:val="24"/>
        </w:rPr>
        <w:t>紙布木、動物體、聚乙（丙）烯塑膠、非聚乙（丙）烯塑橡膠、廢油、活性碳及其他可燃廢</w:t>
      </w:r>
      <w:r w:rsidRPr="00E567F3">
        <w:rPr>
          <w:rFonts w:eastAsia="標楷體" w:hint="eastAsia"/>
          <w:szCs w:val="24"/>
        </w:rPr>
        <w:t>棄物</w:t>
      </w:r>
      <w:r w:rsidRPr="00E567F3">
        <w:rPr>
          <w:rFonts w:eastAsia="標楷體" w:hint="eastAsia"/>
          <w:spacing w:val="2"/>
          <w:kern w:val="0"/>
          <w:szCs w:val="24"/>
        </w:rPr>
        <w:t>。</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二</w:t>
      </w:r>
      <w:r w:rsidRPr="00E567F3">
        <w:rPr>
          <w:rFonts w:eastAsia="標楷體" w:hint="eastAsia"/>
          <w:kern w:val="0"/>
          <w:szCs w:val="24"/>
        </w:rPr>
        <w:t xml:space="preserve">) </w:t>
      </w:r>
      <w:r w:rsidRPr="00E567F3">
        <w:rPr>
          <w:rFonts w:eastAsia="標楷體" w:hint="eastAsia"/>
          <w:kern w:val="0"/>
          <w:szCs w:val="24"/>
        </w:rPr>
        <w:t>非燃性固體放射性廢</w:t>
      </w:r>
      <w:r w:rsidRPr="00E567F3">
        <w:rPr>
          <w:rFonts w:eastAsia="標楷體" w:hint="eastAsia"/>
          <w:szCs w:val="24"/>
        </w:rPr>
        <w:t>棄物</w:t>
      </w:r>
      <w:r w:rsidRPr="00E567F3">
        <w:rPr>
          <w:rFonts w:eastAsia="標楷體" w:hint="eastAsia"/>
          <w:kern w:val="0"/>
          <w:szCs w:val="24"/>
        </w:rPr>
        <w:t>分為：鐵、不銹鋼、鋁、銅、鉛、其他金屬、砂石水泥、前置過濾器、絕對過濾器、玻璃、樹脂、電線電纜、保溫棉</w:t>
      </w:r>
      <w:r w:rsidRPr="00E567F3">
        <w:rPr>
          <w:rFonts w:eastAsia="標楷體" w:hint="eastAsia"/>
          <w:color w:val="000000"/>
          <w:kern w:val="0"/>
          <w:szCs w:val="24"/>
        </w:rPr>
        <w:t>、非燃塑橡膠、廢棄密</w:t>
      </w:r>
      <w:r w:rsidRPr="00E567F3">
        <w:rPr>
          <w:rFonts w:eastAsia="標楷體" w:hint="eastAsia"/>
          <w:kern w:val="0"/>
          <w:szCs w:val="24"/>
        </w:rPr>
        <w:t>封射源、輻鋼</w:t>
      </w:r>
      <w:r w:rsidRPr="00E567F3">
        <w:rPr>
          <w:rFonts w:eastAsia="標楷體" w:hint="eastAsia"/>
          <w:kern w:val="0"/>
          <w:szCs w:val="24"/>
        </w:rPr>
        <w:t>/</w:t>
      </w:r>
      <w:r w:rsidRPr="00E567F3">
        <w:rPr>
          <w:rFonts w:eastAsia="標楷體" w:hint="eastAsia"/>
          <w:kern w:val="0"/>
          <w:szCs w:val="24"/>
        </w:rPr>
        <w:t>輻異物及其他非燃廢</w:t>
      </w:r>
      <w:r w:rsidRPr="00E567F3">
        <w:rPr>
          <w:rFonts w:eastAsia="標楷體" w:hint="eastAsia"/>
          <w:szCs w:val="24"/>
        </w:rPr>
        <w:t>棄物</w:t>
      </w:r>
      <w:r w:rsidRPr="00E567F3">
        <w:rPr>
          <w:rFonts w:eastAsia="標楷體" w:hint="eastAsia"/>
          <w:kern w:val="0"/>
          <w:szCs w:val="24"/>
        </w:rPr>
        <w:t>等。</w:t>
      </w:r>
    </w:p>
    <w:p w:rsidR="00B97347" w:rsidRPr="00E567F3" w:rsidRDefault="000D3E9D" w:rsidP="00E567F3">
      <w:pPr>
        <w:snapToGrid w:val="0"/>
        <w:spacing w:line="360" w:lineRule="auto"/>
        <w:ind w:left="529" w:hangingChars="220" w:hanging="529"/>
        <w:jc w:val="both"/>
        <w:rPr>
          <w:rFonts w:eastAsia="標楷體"/>
          <w:b/>
          <w:kern w:val="0"/>
          <w:szCs w:val="24"/>
        </w:rPr>
      </w:pPr>
      <w:r w:rsidRPr="00E567F3">
        <w:rPr>
          <w:rFonts w:eastAsia="標楷體" w:hint="eastAsia"/>
          <w:b/>
          <w:kern w:val="0"/>
          <w:szCs w:val="24"/>
        </w:rPr>
        <w:t>三</w:t>
      </w:r>
      <w:r w:rsidR="00B97347" w:rsidRPr="00E567F3">
        <w:rPr>
          <w:rFonts w:eastAsia="標楷體" w:hint="eastAsia"/>
          <w:b/>
          <w:kern w:val="0"/>
          <w:szCs w:val="24"/>
        </w:rPr>
        <w:t>、</w:t>
      </w:r>
      <w:r w:rsidRPr="00E567F3">
        <w:rPr>
          <w:rFonts w:eastAsia="標楷體" w:hint="eastAsia"/>
          <w:b/>
          <w:bCs/>
          <w:kern w:val="0"/>
          <w:szCs w:val="24"/>
        </w:rPr>
        <w:t>固體廢</w:t>
      </w:r>
      <w:r w:rsidRPr="00E567F3">
        <w:rPr>
          <w:rFonts w:eastAsia="標楷體" w:hint="eastAsia"/>
          <w:b/>
          <w:bCs/>
          <w:szCs w:val="24"/>
        </w:rPr>
        <w:t>棄物</w:t>
      </w:r>
      <w:r w:rsidR="00B97347" w:rsidRPr="00E567F3">
        <w:rPr>
          <w:rFonts w:eastAsia="標楷體" w:hint="eastAsia"/>
          <w:b/>
          <w:kern w:val="0"/>
          <w:szCs w:val="24"/>
        </w:rPr>
        <w:t>包裝及標示</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一</w:t>
      </w:r>
      <w:r w:rsidRPr="00E567F3">
        <w:rPr>
          <w:rFonts w:eastAsia="標楷體" w:hint="eastAsia"/>
          <w:kern w:val="0"/>
          <w:szCs w:val="24"/>
        </w:rPr>
        <w:t xml:space="preserve">) </w:t>
      </w:r>
      <w:r w:rsidRPr="00E567F3">
        <w:rPr>
          <w:rFonts w:eastAsia="標楷體" w:hint="eastAsia"/>
          <w:kern w:val="0"/>
          <w:szCs w:val="24"/>
        </w:rPr>
        <w:t>可燃性固體放射性廢</w:t>
      </w:r>
      <w:r w:rsidRPr="00E567F3">
        <w:rPr>
          <w:rFonts w:eastAsia="標楷體" w:hint="eastAsia"/>
          <w:szCs w:val="24"/>
        </w:rPr>
        <w:t>棄物</w:t>
      </w:r>
      <w:r w:rsidRPr="00E567F3">
        <w:rPr>
          <w:rFonts w:eastAsia="標楷體" w:hint="eastAsia"/>
          <w:kern w:val="0"/>
          <w:szCs w:val="24"/>
        </w:rPr>
        <w:t>，應按類別裝入內襯塑膠袋之</w:t>
      </w:r>
      <w:r w:rsidRPr="00E567F3">
        <w:rPr>
          <w:rFonts w:eastAsia="標楷體" w:hint="eastAsia"/>
          <w:kern w:val="0"/>
          <w:szCs w:val="24"/>
        </w:rPr>
        <w:t xml:space="preserve"> </w:t>
      </w:r>
      <w:r w:rsidRPr="00E567F3">
        <w:rPr>
          <w:rFonts w:eastAsia="標楷體" w:hint="eastAsia"/>
          <w:spacing w:val="2"/>
          <w:kern w:val="0"/>
          <w:szCs w:val="24"/>
        </w:rPr>
        <w:t xml:space="preserve">35 </w:t>
      </w:r>
      <w:r w:rsidRPr="00E567F3">
        <w:rPr>
          <w:rFonts w:eastAsia="標楷體" w:hint="eastAsia"/>
          <w:kern w:val="0"/>
          <w:szCs w:val="24"/>
        </w:rPr>
        <w:t>公分立方紙箱</w:t>
      </w:r>
      <w:r w:rsidR="00BD5F10">
        <w:rPr>
          <w:rFonts w:eastAsia="標楷體" w:hint="eastAsia"/>
          <w:kern w:val="0"/>
          <w:szCs w:val="24"/>
        </w:rPr>
        <w:t>（</w:t>
      </w:r>
      <w:r w:rsidR="00D4151D" w:rsidRPr="00D4151D">
        <w:rPr>
          <w:rFonts w:eastAsia="標楷體" w:hint="eastAsia"/>
          <w:color w:val="0000FF"/>
          <w:kern w:val="0"/>
          <w:szCs w:val="24"/>
        </w:rPr>
        <w:t>如</w:t>
      </w:r>
      <w:r w:rsidR="00BD5F10" w:rsidRPr="00BD5F10">
        <w:rPr>
          <w:rFonts w:eastAsia="標楷體" w:hint="eastAsia"/>
          <w:color w:val="0000FF"/>
          <w:kern w:val="0"/>
          <w:szCs w:val="24"/>
        </w:rPr>
        <w:t>圖一</w:t>
      </w:r>
      <w:r w:rsidR="00BD5F10">
        <w:rPr>
          <w:rFonts w:eastAsia="標楷體" w:hint="eastAsia"/>
          <w:kern w:val="0"/>
          <w:szCs w:val="24"/>
        </w:rPr>
        <w:t>）</w:t>
      </w:r>
      <w:r w:rsidRPr="00E567F3">
        <w:rPr>
          <w:rFonts w:eastAsia="標楷體" w:hint="eastAsia"/>
          <w:kern w:val="0"/>
          <w:szCs w:val="24"/>
        </w:rPr>
        <w:t>。塑膠袋口與紙箱疊縫口，分別以封口膠帶封閉。包件應符合下列條件：</w:t>
      </w:r>
    </w:p>
    <w:p w:rsidR="00B97347" w:rsidRPr="002911F3" w:rsidRDefault="00B97347" w:rsidP="00E567F3">
      <w:pPr>
        <w:autoSpaceDE w:val="0"/>
        <w:autoSpaceDN w:val="0"/>
        <w:adjustRightInd w:val="0"/>
        <w:snapToGrid w:val="0"/>
        <w:spacing w:line="360" w:lineRule="auto"/>
        <w:ind w:leftChars="251" w:left="1476" w:right="51" w:hangingChars="364" w:hanging="874"/>
        <w:jc w:val="both"/>
        <w:rPr>
          <w:rFonts w:eastAsia="標楷體" w:hint="eastAsia"/>
          <w:kern w:val="0"/>
          <w:szCs w:val="24"/>
        </w:rPr>
      </w:pPr>
      <w:r w:rsidRPr="00E567F3">
        <w:rPr>
          <w:rFonts w:eastAsia="標楷體" w:hint="eastAsia"/>
          <w:kern w:val="0"/>
          <w:szCs w:val="24"/>
        </w:rPr>
        <w:t xml:space="preserve">1. </w:t>
      </w:r>
      <w:r w:rsidRPr="00E567F3">
        <w:rPr>
          <w:rFonts w:eastAsia="標楷體" w:hint="eastAsia"/>
          <w:kern w:val="0"/>
          <w:szCs w:val="24"/>
        </w:rPr>
        <w:t>非屬塑、橡膠類之可燃性廢棄物總重量不</w:t>
      </w:r>
      <w:r w:rsidRPr="002911F3">
        <w:rPr>
          <w:rFonts w:eastAsia="標楷體" w:hint="eastAsia"/>
          <w:kern w:val="0"/>
          <w:szCs w:val="24"/>
        </w:rPr>
        <w:t>得超過</w:t>
      </w:r>
      <w:r w:rsidRPr="002911F3">
        <w:rPr>
          <w:rFonts w:eastAsia="標楷體"/>
          <w:kern w:val="0"/>
          <w:szCs w:val="24"/>
        </w:rPr>
        <w:t>15</w:t>
      </w:r>
      <w:r w:rsidRPr="002911F3">
        <w:rPr>
          <w:rFonts w:eastAsia="標楷體" w:hint="eastAsia"/>
          <w:kern w:val="0"/>
          <w:szCs w:val="24"/>
        </w:rPr>
        <w:t>公斤。</w:t>
      </w:r>
    </w:p>
    <w:p w:rsidR="00B97347" w:rsidRPr="002911F3" w:rsidRDefault="00B97347" w:rsidP="00E567F3">
      <w:pPr>
        <w:autoSpaceDE w:val="0"/>
        <w:autoSpaceDN w:val="0"/>
        <w:adjustRightInd w:val="0"/>
        <w:snapToGrid w:val="0"/>
        <w:spacing w:line="360" w:lineRule="auto"/>
        <w:ind w:leftChars="251" w:left="1476" w:right="51" w:hangingChars="364" w:hanging="874"/>
        <w:jc w:val="both"/>
        <w:rPr>
          <w:rFonts w:eastAsia="標楷體" w:hint="eastAsia"/>
          <w:kern w:val="0"/>
          <w:szCs w:val="24"/>
        </w:rPr>
      </w:pPr>
      <w:r w:rsidRPr="002911F3">
        <w:rPr>
          <w:rFonts w:eastAsia="標楷體" w:hint="eastAsia"/>
          <w:kern w:val="0"/>
          <w:szCs w:val="24"/>
        </w:rPr>
        <w:t xml:space="preserve">2. </w:t>
      </w:r>
      <w:r w:rsidRPr="002911F3">
        <w:rPr>
          <w:rFonts w:eastAsia="標楷體" w:hint="eastAsia"/>
          <w:kern w:val="0"/>
          <w:szCs w:val="24"/>
        </w:rPr>
        <w:t>塑膠、橡膠類可燃性廢棄物總重量不得超過</w:t>
      </w:r>
      <w:r w:rsidRPr="002911F3">
        <w:rPr>
          <w:rFonts w:eastAsia="標楷體" w:hint="eastAsia"/>
          <w:kern w:val="0"/>
          <w:szCs w:val="24"/>
        </w:rPr>
        <w:t>8</w:t>
      </w:r>
      <w:r w:rsidRPr="002911F3">
        <w:rPr>
          <w:rFonts w:eastAsia="標楷體" w:hint="eastAsia"/>
          <w:kern w:val="0"/>
          <w:szCs w:val="24"/>
        </w:rPr>
        <w:t>公斤。</w:t>
      </w:r>
    </w:p>
    <w:p w:rsidR="00B97347" w:rsidRPr="00E567F3" w:rsidRDefault="00B97347" w:rsidP="00E567F3">
      <w:pPr>
        <w:autoSpaceDE w:val="0"/>
        <w:autoSpaceDN w:val="0"/>
        <w:adjustRightInd w:val="0"/>
        <w:snapToGrid w:val="0"/>
        <w:spacing w:line="360" w:lineRule="auto"/>
        <w:ind w:leftChars="250" w:left="910" w:right="51" w:hangingChars="129" w:hanging="310"/>
        <w:jc w:val="both"/>
        <w:rPr>
          <w:rFonts w:eastAsia="標楷體"/>
          <w:kern w:val="0"/>
          <w:szCs w:val="24"/>
        </w:rPr>
      </w:pPr>
      <w:r w:rsidRPr="002911F3">
        <w:rPr>
          <w:rFonts w:eastAsia="標楷體" w:hint="eastAsia"/>
          <w:kern w:val="0"/>
          <w:szCs w:val="24"/>
        </w:rPr>
        <w:t xml:space="preserve">3. </w:t>
      </w:r>
      <w:r w:rsidRPr="002911F3">
        <w:rPr>
          <w:rFonts w:eastAsia="標楷體" w:hint="eastAsia"/>
          <w:kern w:val="0"/>
          <w:szCs w:val="24"/>
        </w:rPr>
        <w:t>包件表面輻射劑量率不得超過</w:t>
      </w:r>
      <w:r w:rsidRPr="002911F3">
        <w:rPr>
          <w:rFonts w:eastAsia="標楷體" w:hint="eastAsia"/>
          <w:kern w:val="0"/>
          <w:szCs w:val="24"/>
        </w:rPr>
        <w:t xml:space="preserve"> </w:t>
      </w:r>
      <w:r w:rsidRPr="002911F3">
        <w:rPr>
          <w:rFonts w:eastAsia="標楷體"/>
          <w:kern w:val="0"/>
          <w:szCs w:val="24"/>
        </w:rPr>
        <w:t>0.5</w:t>
      </w:r>
      <w:r w:rsidRPr="002911F3">
        <w:rPr>
          <w:rFonts w:eastAsia="標楷體" w:hint="eastAsia"/>
          <w:kern w:val="0"/>
          <w:szCs w:val="24"/>
        </w:rPr>
        <w:t xml:space="preserve"> </w:t>
      </w:r>
      <w:r w:rsidRPr="002911F3">
        <w:rPr>
          <w:rFonts w:eastAsia="標楷體" w:hint="eastAsia"/>
          <w:kern w:val="0"/>
          <w:szCs w:val="24"/>
        </w:rPr>
        <w:t>毫西弗／小時，一公尺處不得超過</w:t>
      </w:r>
      <w:r w:rsidRPr="002911F3">
        <w:rPr>
          <w:rFonts w:eastAsia="標楷體" w:hint="eastAsia"/>
          <w:kern w:val="0"/>
          <w:szCs w:val="24"/>
        </w:rPr>
        <w:t xml:space="preserve"> </w:t>
      </w:r>
      <w:r w:rsidRPr="002911F3">
        <w:rPr>
          <w:rFonts w:eastAsia="標楷體"/>
          <w:kern w:val="0"/>
          <w:szCs w:val="24"/>
        </w:rPr>
        <w:t>0.1</w:t>
      </w:r>
      <w:r w:rsidRPr="002911F3">
        <w:rPr>
          <w:rFonts w:eastAsia="標楷體" w:hint="eastAsia"/>
          <w:kern w:val="0"/>
          <w:szCs w:val="24"/>
        </w:rPr>
        <w:t xml:space="preserve"> </w:t>
      </w:r>
      <w:r w:rsidRPr="002911F3">
        <w:rPr>
          <w:rFonts w:eastAsia="標楷體" w:hint="eastAsia"/>
          <w:kern w:val="0"/>
          <w:szCs w:val="24"/>
        </w:rPr>
        <w:t>毫西弗／小</w:t>
      </w:r>
      <w:r w:rsidRPr="00E567F3">
        <w:rPr>
          <w:rFonts w:eastAsia="標楷體" w:hint="eastAsia"/>
          <w:b/>
          <w:kern w:val="0"/>
          <w:szCs w:val="24"/>
        </w:rPr>
        <w:t>時，</w:t>
      </w:r>
      <w:r w:rsidRPr="00E567F3">
        <w:rPr>
          <w:rFonts w:eastAsia="標楷體" w:hint="eastAsia"/>
          <w:kern w:val="0"/>
          <w:szCs w:val="24"/>
        </w:rPr>
        <w:t>包件外表面不得有污染。</w:t>
      </w:r>
    </w:p>
    <w:p w:rsidR="00B97347" w:rsidRPr="00E567F3" w:rsidRDefault="00B97347" w:rsidP="00E567F3">
      <w:pPr>
        <w:autoSpaceDE w:val="0"/>
        <w:autoSpaceDN w:val="0"/>
        <w:adjustRightInd w:val="0"/>
        <w:snapToGrid w:val="0"/>
        <w:spacing w:line="360" w:lineRule="auto"/>
        <w:ind w:leftChars="250" w:left="910" w:right="51" w:hangingChars="129" w:hanging="310"/>
        <w:jc w:val="both"/>
        <w:rPr>
          <w:rFonts w:eastAsia="標楷體" w:hint="eastAsia"/>
          <w:kern w:val="0"/>
          <w:szCs w:val="24"/>
        </w:rPr>
      </w:pPr>
      <w:r w:rsidRPr="00E567F3">
        <w:rPr>
          <w:rFonts w:eastAsia="標楷體" w:hint="eastAsia"/>
          <w:kern w:val="0"/>
          <w:szCs w:val="24"/>
        </w:rPr>
        <w:t xml:space="preserve">4. </w:t>
      </w:r>
      <w:r w:rsidRPr="00E567F3">
        <w:rPr>
          <w:rFonts w:eastAsia="標楷體" w:hint="eastAsia"/>
          <w:kern w:val="0"/>
          <w:szCs w:val="24"/>
        </w:rPr>
        <w:t>比活度不得超過</w:t>
      </w:r>
      <w:r w:rsidRPr="00E567F3">
        <w:rPr>
          <w:rFonts w:eastAsia="標楷體" w:hint="eastAsia"/>
          <w:kern w:val="0"/>
          <w:szCs w:val="24"/>
        </w:rPr>
        <w:t xml:space="preserve"> 7 </w:t>
      </w:r>
      <w:r w:rsidRPr="00E567F3">
        <w:rPr>
          <w:rFonts w:eastAsia="標楷體" w:hint="eastAsia"/>
          <w:kern w:val="0"/>
          <w:szCs w:val="24"/>
        </w:rPr>
        <w:t>百萬貝克／公斤。</w:t>
      </w:r>
    </w:p>
    <w:p w:rsidR="00B97347" w:rsidRPr="00E567F3" w:rsidRDefault="00B97347" w:rsidP="00E567F3">
      <w:pPr>
        <w:autoSpaceDE w:val="0"/>
        <w:autoSpaceDN w:val="0"/>
        <w:adjustRightInd w:val="0"/>
        <w:snapToGrid w:val="0"/>
        <w:spacing w:line="360" w:lineRule="auto"/>
        <w:ind w:leftChars="250" w:left="910" w:right="51" w:hangingChars="129" w:hanging="310"/>
        <w:jc w:val="both"/>
        <w:rPr>
          <w:rFonts w:eastAsia="標楷體"/>
          <w:kern w:val="0"/>
          <w:szCs w:val="24"/>
        </w:rPr>
      </w:pPr>
      <w:r w:rsidRPr="00E567F3">
        <w:rPr>
          <w:rFonts w:eastAsia="標楷體" w:hint="eastAsia"/>
          <w:kern w:val="0"/>
          <w:szCs w:val="24"/>
        </w:rPr>
        <w:t xml:space="preserve">5. </w:t>
      </w:r>
      <w:r w:rsidRPr="00E567F3">
        <w:rPr>
          <w:rFonts w:eastAsia="標楷體" w:hint="eastAsia"/>
          <w:kern w:val="0"/>
          <w:szCs w:val="24"/>
        </w:rPr>
        <w:t>不得有明顯積水，紙箱不得滴水或潮濕變形。</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二</w:t>
      </w:r>
      <w:r w:rsidRPr="00E567F3">
        <w:rPr>
          <w:rFonts w:eastAsia="標楷體" w:hint="eastAsia"/>
          <w:kern w:val="0"/>
          <w:szCs w:val="24"/>
        </w:rPr>
        <w:t xml:space="preserve">) </w:t>
      </w:r>
      <w:r w:rsidRPr="00E567F3">
        <w:rPr>
          <w:rFonts w:eastAsia="標楷體" w:hint="eastAsia"/>
          <w:kern w:val="0"/>
          <w:szCs w:val="24"/>
        </w:rPr>
        <w:t>非燃性固體放射性廢</w:t>
      </w:r>
      <w:r w:rsidRPr="00E567F3">
        <w:rPr>
          <w:rFonts w:eastAsia="標楷體" w:hint="eastAsia"/>
          <w:szCs w:val="24"/>
        </w:rPr>
        <w:t>棄物</w:t>
      </w:r>
      <w:r w:rsidRPr="00E567F3">
        <w:rPr>
          <w:rFonts w:eastAsia="標楷體" w:hint="eastAsia"/>
          <w:kern w:val="0"/>
          <w:szCs w:val="24"/>
        </w:rPr>
        <w:t>，應按類別分別收集；大量者以碳鋼標準桶貯存。小量者用塑膠袋包裝，包件應符合下列條件：</w:t>
      </w:r>
    </w:p>
    <w:p w:rsidR="00B97347" w:rsidRPr="00E567F3" w:rsidRDefault="00B97347" w:rsidP="00E567F3">
      <w:pPr>
        <w:autoSpaceDE w:val="0"/>
        <w:autoSpaceDN w:val="0"/>
        <w:adjustRightInd w:val="0"/>
        <w:snapToGrid w:val="0"/>
        <w:spacing w:line="360" w:lineRule="auto"/>
        <w:ind w:leftChars="250" w:left="910" w:right="51" w:hangingChars="129" w:hanging="310"/>
        <w:jc w:val="both"/>
        <w:rPr>
          <w:rFonts w:eastAsia="標楷體" w:hint="eastAsia"/>
          <w:kern w:val="0"/>
          <w:szCs w:val="24"/>
        </w:rPr>
      </w:pPr>
      <w:r w:rsidRPr="00E567F3">
        <w:rPr>
          <w:rFonts w:eastAsia="標楷體" w:hint="eastAsia"/>
          <w:kern w:val="0"/>
          <w:szCs w:val="24"/>
        </w:rPr>
        <w:t xml:space="preserve">1. </w:t>
      </w:r>
      <w:r w:rsidRPr="00E567F3">
        <w:rPr>
          <w:rFonts w:eastAsia="標楷體" w:hint="eastAsia"/>
          <w:kern w:val="0"/>
          <w:szCs w:val="24"/>
        </w:rPr>
        <w:t>每桶總重量不得超過</w:t>
      </w:r>
      <w:r w:rsidRPr="00E567F3">
        <w:rPr>
          <w:rFonts w:eastAsia="標楷體" w:hint="eastAsia"/>
          <w:kern w:val="0"/>
          <w:szCs w:val="24"/>
        </w:rPr>
        <w:t xml:space="preserve"> 400 </w:t>
      </w:r>
      <w:r w:rsidRPr="00E567F3">
        <w:rPr>
          <w:rFonts w:eastAsia="標楷體" w:hint="eastAsia"/>
          <w:kern w:val="0"/>
          <w:szCs w:val="24"/>
        </w:rPr>
        <w:t>公斤（屏蔽桶裝總重量不得超過</w:t>
      </w:r>
      <w:r w:rsidRPr="00E567F3">
        <w:rPr>
          <w:rFonts w:eastAsia="標楷體" w:hint="eastAsia"/>
          <w:kern w:val="0"/>
          <w:szCs w:val="24"/>
        </w:rPr>
        <w:t xml:space="preserve"> 500 </w:t>
      </w:r>
      <w:r w:rsidRPr="00E567F3">
        <w:rPr>
          <w:rFonts w:eastAsia="標楷體" w:hint="eastAsia"/>
          <w:kern w:val="0"/>
          <w:szCs w:val="24"/>
        </w:rPr>
        <w:t>公斤）。塑膠袋包裝不得超過</w:t>
      </w:r>
      <w:r w:rsidRPr="00E567F3">
        <w:rPr>
          <w:rFonts w:eastAsia="標楷體" w:hint="eastAsia"/>
          <w:kern w:val="0"/>
          <w:szCs w:val="24"/>
        </w:rPr>
        <w:t xml:space="preserve"> </w:t>
      </w:r>
      <w:r w:rsidRPr="00E567F3">
        <w:rPr>
          <w:rFonts w:eastAsia="標楷體"/>
          <w:kern w:val="0"/>
          <w:szCs w:val="24"/>
        </w:rPr>
        <w:t>15</w:t>
      </w:r>
      <w:r w:rsidRPr="00E567F3">
        <w:rPr>
          <w:rFonts w:eastAsia="標楷體" w:hint="eastAsia"/>
          <w:kern w:val="0"/>
          <w:szCs w:val="24"/>
        </w:rPr>
        <w:t xml:space="preserve"> </w:t>
      </w:r>
      <w:r w:rsidRPr="00E567F3">
        <w:rPr>
          <w:rFonts w:eastAsia="標楷體" w:hint="eastAsia"/>
          <w:kern w:val="0"/>
          <w:szCs w:val="24"/>
        </w:rPr>
        <w:t>公斤。</w:t>
      </w:r>
    </w:p>
    <w:p w:rsidR="00B97347" w:rsidRPr="00E567F3" w:rsidRDefault="00B97347" w:rsidP="00E567F3">
      <w:pPr>
        <w:autoSpaceDE w:val="0"/>
        <w:autoSpaceDN w:val="0"/>
        <w:adjustRightInd w:val="0"/>
        <w:snapToGrid w:val="0"/>
        <w:spacing w:line="360" w:lineRule="auto"/>
        <w:ind w:leftChars="250" w:left="905" w:right="51" w:hangingChars="127" w:hanging="305"/>
        <w:jc w:val="both"/>
        <w:rPr>
          <w:rFonts w:eastAsia="標楷體" w:hint="eastAsia"/>
          <w:kern w:val="0"/>
          <w:szCs w:val="24"/>
        </w:rPr>
      </w:pPr>
      <w:r w:rsidRPr="00E567F3">
        <w:rPr>
          <w:rFonts w:eastAsia="標楷體" w:hint="eastAsia"/>
          <w:kern w:val="0"/>
          <w:szCs w:val="24"/>
        </w:rPr>
        <w:t xml:space="preserve">2. </w:t>
      </w:r>
      <w:r w:rsidRPr="00E567F3">
        <w:rPr>
          <w:rFonts w:eastAsia="標楷體" w:hint="eastAsia"/>
          <w:kern w:val="0"/>
          <w:szCs w:val="24"/>
        </w:rPr>
        <w:t>包件表面劑量率不得超過</w:t>
      </w:r>
      <w:r w:rsidRPr="00E567F3">
        <w:rPr>
          <w:rFonts w:eastAsia="標楷體" w:hint="eastAsia"/>
          <w:kern w:val="0"/>
          <w:szCs w:val="24"/>
        </w:rPr>
        <w:t xml:space="preserve"> </w:t>
      </w:r>
      <w:r w:rsidRPr="00E567F3">
        <w:rPr>
          <w:rFonts w:eastAsia="標楷體"/>
          <w:kern w:val="0"/>
          <w:szCs w:val="24"/>
        </w:rPr>
        <w:t>2</w:t>
      </w:r>
      <w:r w:rsidRPr="00E567F3">
        <w:rPr>
          <w:rFonts w:eastAsia="標楷體" w:hint="eastAsia"/>
          <w:kern w:val="0"/>
          <w:szCs w:val="24"/>
        </w:rPr>
        <w:t xml:space="preserve"> </w:t>
      </w:r>
      <w:r w:rsidRPr="00E567F3">
        <w:rPr>
          <w:rFonts w:eastAsia="標楷體" w:hint="eastAsia"/>
          <w:kern w:val="0"/>
          <w:szCs w:val="24"/>
        </w:rPr>
        <w:t>毫西弗／小時，一公尺處不得超過</w:t>
      </w:r>
      <w:r w:rsidRPr="00E567F3">
        <w:rPr>
          <w:rFonts w:eastAsia="標楷體"/>
          <w:kern w:val="0"/>
          <w:szCs w:val="24"/>
        </w:rPr>
        <w:t xml:space="preserve"> 0.1</w:t>
      </w:r>
      <w:r w:rsidRPr="00E567F3">
        <w:rPr>
          <w:rFonts w:eastAsia="標楷體" w:hint="eastAsia"/>
          <w:kern w:val="0"/>
          <w:szCs w:val="24"/>
        </w:rPr>
        <w:t>毫西弗／小時，包件外表面不得有污染，內容物不得含有自由水。</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 xml:space="preserve"> (</w:t>
      </w:r>
      <w:r w:rsidRPr="00E567F3">
        <w:rPr>
          <w:rFonts w:eastAsia="標楷體" w:hint="eastAsia"/>
          <w:kern w:val="0"/>
          <w:szCs w:val="24"/>
        </w:rPr>
        <w:t>三</w:t>
      </w:r>
      <w:r w:rsidRPr="00E567F3">
        <w:rPr>
          <w:rFonts w:eastAsia="標楷體" w:hint="eastAsia"/>
          <w:kern w:val="0"/>
          <w:szCs w:val="24"/>
        </w:rPr>
        <w:t xml:space="preserve">) </w:t>
      </w:r>
      <w:r w:rsidRPr="00E567F3">
        <w:rPr>
          <w:rFonts w:eastAsia="標楷體" w:hint="eastAsia"/>
          <w:kern w:val="0"/>
          <w:szCs w:val="24"/>
        </w:rPr>
        <w:t>通風系統之用過過濾器，應裝入內襯塑膠袋之紙箱內；塑膠袋口與紙箱疊縫口，分別</w:t>
      </w:r>
      <w:r w:rsidRPr="00E567F3">
        <w:rPr>
          <w:rFonts w:eastAsia="標楷體" w:hint="eastAsia"/>
          <w:kern w:val="0"/>
          <w:szCs w:val="24"/>
        </w:rPr>
        <w:lastRenderedPageBreak/>
        <w:t>以封口膠帶封閉。</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四</w:t>
      </w:r>
      <w:r w:rsidRPr="00E567F3">
        <w:rPr>
          <w:rFonts w:eastAsia="標楷體" w:hint="eastAsia"/>
          <w:kern w:val="0"/>
          <w:szCs w:val="24"/>
        </w:rPr>
        <w:t xml:space="preserve">) </w:t>
      </w:r>
      <w:r w:rsidRPr="00E567F3">
        <w:rPr>
          <w:rFonts w:eastAsia="標楷體" w:hint="eastAsia"/>
          <w:kern w:val="0"/>
          <w:szCs w:val="24"/>
        </w:rPr>
        <w:t>廢棄密封射源需以容器包封，容器外表面粘貼放射性</w:t>
      </w:r>
      <w:r w:rsidRPr="00E567F3">
        <w:rPr>
          <w:rFonts w:eastAsia="標楷體" w:hint="eastAsia"/>
          <w:spacing w:val="2"/>
          <w:kern w:val="0"/>
          <w:szCs w:val="24"/>
        </w:rPr>
        <w:t>廢棄物</w:t>
      </w:r>
      <w:r w:rsidRPr="00E567F3">
        <w:rPr>
          <w:rFonts w:eastAsia="標楷體" w:hint="eastAsia"/>
          <w:kern w:val="0"/>
          <w:szCs w:val="24"/>
        </w:rPr>
        <w:t>標誌及耐久性標示牌標示核種、活度、製造日期，包件外表面劑量率應不得超過</w:t>
      </w:r>
      <w:r w:rsidRPr="00E567F3">
        <w:rPr>
          <w:rFonts w:eastAsia="標楷體" w:hint="eastAsia"/>
          <w:kern w:val="0"/>
          <w:szCs w:val="24"/>
        </w:rPr>
        <w:t xml:space="preserve"> 2 </w:t>
      </w:r>
      <w:r w:rsidRPr="00E567F3">
        <w:rPr>
          <w:rFonts w:eastAsia="標楷體" w:hint="eastAsia"/>
          <w:kern w:val="0"/>
          <w:szCs w:val="24"/>
        </w:rPr>
        <w:t>毫西弗／小時。</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五</w:t>
      </w:r>
      <w:r w:rsidRPr="00E567F3">
        <w:rPr>
          <w:rFonts w:eastAsia="標楷體" w:hint="eastAsia"/>
          <w:kern w:val="0"/>
          <w:szCs w:val="24"/>
        </w:rPr>
        <w:t>)</w:t>
      </w:r>
      <w:r w:rsidRPr="00E567F3">
        <w:rPr>
          <w:rFonts w:eastAsia="標楷體" w:hint="eastAsia"/>
          <w:kern w:val="0"/>
          <w:szCs w:val="24"/>
        </w:rPr>
        <w:t>於放射性廢</w:t>
      </w:r>
      <w:r w:rsidRPr="00E567F3">
        <w:rPr>
          <w:rFonts w:eastAsia="標楷體" w:hint="eastAsia"/>
          <w:szCs w:val="24"/>
        </w:rPr>
        <w:t>棄物</w:t>
      </w:r>
      <w:r w:rsidRPr="00E567F3">
        <w:rPr>
          <w:rFonts w:eastAsia="標楷體" w:hint="eastAsia"/>
          <w:kern w:val="0"/>
          <w:szCs w:val="24"/>
        </w:rPr>
        <w:t>包件交運前，應在每一包件上</w:t>
      </w:r>
      <w:r w:rsidRPr="00E567F3">
        <w:rPr>
          <w:rFonts w:eastAsia="標楷體" w:hint="eastAsia"/>
          <w:spacing w:val="2"/>
          <w:kern w:val="0"/>
          <w:szCs w:val="24"/>
        </w:rPr>
        <w:t>粘貼</w:t>
      </w:r>
      <w:r w:rsidRPr="00E567F3">
        <w:rPr>
          <w:rFonts w:eastAsia="標楷體" w:hint="eastAsia"/>
          <w:kern w:val="0"/>
          <w:szCs w:val="24"/>
        </w:rPr>
        <w:t>放射</w:t>
      </w:r>
      <w:r w:rsidRPr="00E567F3">
        <w:rPr>
          <w:rFonts w:eastAsia="標楷體" w:hint="eastAsia"/>
          <w:color w:val="000000"/>
          <w:kern w:val="0"/>
          <w:szCs w:val="24"/>
        </w:rPr>
        <w:t>性廢棄物標</w:t>
      </w:r>
      <w:r w:rsidRPr="00E567F3">
        <w:rPr>
          <w:rFonts w:eastAsia="標楷體" w:hint="eastAsia"/>
          <w:kern w:val="0"/>
          <w:szCs w:val="24"/>
        </w:rPr>
        <w:t>誌</w:t>
      </w:r>
      <w:r w:rsidR="00BD5F10">
        <w:rPr>
          <w:rFonts w:eastAsia="標楷體" w:hint="eastAsia"/>
          <w:kern w:val="0"/>
          <w:szCs w:val="24"/>
        </w:rPr>
        <w:t>（</w:t>
      </w:r>
      <w:r w:rsidR="00D4151D" w:rsidRPr="00D4151D">
        <w:rPr>
          <w:rFonts w:eastAsia="標楷體" w:hint="eastAsia"/>
          <w:color w:val="0000FF"/>
          <w:kern w:val="0"/>
          <w:szCs w:val="24"/>
        </w:rPr>
        <w:t>如</w:t>
      </w:r>
      <w:r w:rsidR="00BD5F10" w:rsidRPr="00BD5F10">
        <w:rPr>
          <w:rFonts w:eastAsia="標楷體" w:hint="eastAsia"/>
          <w:color w:val="0000FF"/>
          <w:kern w:val="0"/>
          <w:szCs w:val="24"/>
        </w:rPr>
        <w:t>圖二</w:t>
      </w:r>
      <w:r w:rsidR="00BD5F10">
        <w:rPr>
          <w:rFonts w:eastAsia="標楷體" w:hint="eastAsia"/>
          <w:kern w:val="0"/>
          <w:szCs w:val="24"/>
        </w:rPr>
        <w:t>）</w:t>
      </w:r>
      <w:r w:rsidRPr="00E567F3">
        <w:rPr>
          <w:rFonts w:eastAsia="標楷體" w:hint="eastAsia"/>
          <w:kern w:val="0"/>
          <w:szCs w:val="24"/>
        </w:rPr>
        <w:t>及依「放射性物質安全運送規則」粘貼包件標誌。</w:t>
      </w:r>
    </w:p>
    <w:p w:rsidR="000D3E9D"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六</w:t>
      </w:r>
      <w:r w:rsidRPr="00E567F3">
        <w:rPr>
          <w:rFonts w:eastAsia="標楷體" w:hint="eastAsia"/>
          <w:kern w:val="0"/>
          <w:szCs w:val="24"/>
        </w:rPr>
        <w:t xml:space="preserve">) </w:t>
      </w:r>
      <w:r w:rsidRPr="00E567F3">
        <w:rPr>
          <w:rFonts w:eastAsia="標楷體" w:hint="eastAsia"/>
          <w:kern w:val="0"/>
          <w:szCs w:val="24"/>
        </w:rPr>
        <w:t>具有感染性之放射性廢</w:t>
      </w:r>
      <w:r w:rsidRPr="00E567F3">
        <w:rPr>
          <w:rFonts w:eastAsia="標楷體" w:hint="eastAsia"/>
          <w:szCs w:val="24"/>
        </w:rPr>
        <w:t>棄物</w:t>
      </w:r>
      <w:r w:rsidRPr="00E567F3">
        <w:rPr>
          <w:rFonts w:eastAsia="標楷體" w:hint="eastAsia"/>
          <w:kern w:val="0"/>
          <w:szCs w:val="24"/>
        </w:rPr>
        <w:t>，申請機構須做完全滅菌處理後，分類包裝</w:t>
      </w:r>
      <w:r w:rsidR="000D3E9D" w:rsidRPr="00E567F3">
        <w:rPr>
          <w:rFonts w:eastAsia="標楷體" w:hint="eastAsia"/>
          <w:kern w:val="0"/>
          <w:szCs w:val="24"/>
        </w:rPr>
        <w:t>如下：</w:t>
      </w:r>
    </w:p>
    <w:p w:rsidR="000D3E9D" w:rsidRPr="00E567F3" w:rsidRDefault="000D3E9D" w:rsidP="00E567F3">
      <w:pPr>
        <w:autoSpaceDE w:val="0"/>
        <w:autoSpaceDN w:val="0"/>
        <w:adjustRightInd w:val="0"/>
        <w:snapToGrid w:val="0"/>
        <w:spacing w:line="360" w:lineRule="auto"/>
        <w:ind w:leftChars="250" w:left="910" w:right="51" w:hangingChars="129" w:hanging="310"/>
        <w:jc w:val="both"/>
        <w:rPr>
          <w:rFonts w:eastAsia="標楷體" w:hint="eastAsia"/>
          <w:kern w:val="0"/>
          <w:szCs w:val="24"/>
        </w:rPr>
      </w:pPr>
      <w:r w:rsidRPr="00E567F3">
        <w:rPr>
          <w:rFonts w:eastAsia="標楷體" w:hint="eastAsia"/>
          <w:kern w:val="0"/>
          <w:szCs w:val="24"/>
        </w:rPr>
        <w:t xml:space="preserve">1. </w:t>
      </w:r>
      <w:r w:rsidRPr="00E567F3">
        <w:rPr>
          <w:rFonts w:eastAsia="標楷體" w:hint="eastAsia"/>
          <w:kern w:val="0"/>
          <w:szCs w:val="24"/>
        </w:rPr>
        <w:t>可燃性感染廢棄物：紙、布、木材、綿紗、塑膠、橡膠等，應以厚雙層或多層紅色塑膠袋收集，再噴灑滅菌劑消毒後密封，外貼感染性標誌，並註明產生單位、日期。</w:t>
      </w:r>
    </w:p>
    <w:p w:rsidR="000D3E9D" w:rsidRPr="00E567F3" w:rsidRDefault="000D3E9D" w:rsidP="00E567F3">
      <w:pPr>
        <w:autoSpaceDE w:val="0"/>
        <w:autoSpaceDN w:val="0"/>
        <w:adjustRightInd w:val="0"/>
        <w:snapToGrid w:val="0"/>
        <w:spacing w:line="360" w:lineRule="auto"/>
        <w:ind w:leftChars="250" w:left="910" w:right="51" w:hangingChars="129" w:hanging="310"/>
        <w:jc w:val="both"/>
        <w:rPr>
          <w:rFonts w:eastAsia="標楷體" w:hint="eastAsia"/>
          <w:kern w:val="0"/>
          <w:szCs w:val="24"/>
        </w:rPr>
      </w:pPr>
      <w:r w:rsidRPr="00E567F3">
        <w:rPr>
          <w:rFonts w:eastAsia="標楷體" w:hint="eastAsia"/>
          <w:kern w:val="0"/>
          <w:szCs w:val="24"/>
        </w:rPr>
        <w:t xml:space="preserve">2. </w:t>
      </w:r>
      <w:r w:rsidRPr="00E567F3">
        <w:rPr>
          <w:rFonts w:eastAsia="標楷體" w:hint="eastAsia"/>
          <w:kern w:val="0"/>
          <w:szCs w:val="24"/>
        </w:rPr>
        <w:t>非燃性感染廢棄物：針頭、刀片、縫合針、尖銳器械</w:t>
      </w:r>
      <w:r w:rsidRPr="00E567F3">
        <w:rPr>
          <w:rFonts w:eastAsia="標楷體" w:hint="eastAsia"/>
          <w:kern w:val="0"/>
          <w:szCs w:val="24"/>
        </w:rPr>
        <w:t>(</w:t>
      </w:r>
      <w:r w:rsidRPr="00E567F3">
        <w:rPr>
          <w:rFonts w:eastAsia="標楷體" w:hint="eastAsia"/>
          <w:kern w:val="0"/>
          <w:szCs w:val="24"/>
        </w:rPr>
        <w:t>前述物品均需鈍化處理</w:t>
      </w:r>
      <w:r w:rsidRPr="00E567F3">
        <w:rPr>
          <w:rFonts w:eastAsia="標楷體" w:hint="eastAsia"/>
          <w:kern w:val="0"/>
          <w:szCs w:val="24"/>
        </w:rPr>
        <w:t>)</w:t>
      </w:r>
      <w:r w:rsidRPr="00E567F3">
        <w:rPr>
          <w:rFonts w:eastAsia="標楷體" w:hint="eastAsia"/>
          <w:kern w:val="0"/>
          <w:szCs w:val="24"/>
        </w:rPr>
        <w:t>及玻璃器皿，應分別用黃色金屬容器收集，再噴灑滅菌劑消毒或高壓蒸氣滅菌消毒後密封，外貼感染性標誌，註明產生單位、日期。</w:t>
      </w:r>
    </w:p>
    <w:p w:rsidR="000D3E9D" w:rsidRPr="00E567F3" w:rsidRDefault="000D3E9D" w:rsidP="00E567F3">
      <w:pPr>
        <w:autoSpaceDE w:val="0"/>
        <w:autoSpaceDN w:val="0"/>
        <w:adjustRightInd w:val="0"/>
        <w:snapToGrid w:val="0"/>
        <w:spacing w:line="360" w:lineRule="auto"/>
        <w:ind w:leftChars="250" w:left="910" w:right="51" w:hangingChars="129" w:hanging="310"/>
        <w:jc w:val="both"/>
        <w:rPr>
          <w:rFonts w:eastAsia="標楷體"/>
          <w:kern w:val="0"/>
          <w:szCs w:val="24"/>
        </w:rPr>
      </w:pPr>
      <w:r w:rsidRPr="00E567F3">
        <w:rPr>
          <w:rFonts w:eastAsia="標楷體" w:hint="eastAsia"/>
          <w:kern w:val="0"/>
          <w:szCs w:val="24"/>
        </w:rPr>
        <w:t xml:space="preserve">3. </w:t>
      </w:r>
      <w:r w:rsidRPr="00E567F3">
        <w:rPr>
          <w:rFonts w:eastAsia="標楷體" w:hint="eastAsia"/>
          <w:kern w:val="0"/>
          <w:szCs w:val="24"/>
        </w:rPr>
        <w:t>感</w:t>
      </w:r>
      <w:r w:rsidRPr="00E567F3">
        <w:rPr>
          <w:rFonts w:eastAsia="標楷體" w:hint="eastAsia"/>
          <w:spacing w:val="-4"/>
          <w:kern w:val="0"/>
          <w:szCs w:val="24"/>
        </w:rPr>
        <w:t>染性動物體：實驗室解剖之動物組織、屍體在冷凍前，應先乾燥、噴灑消毒滅菌劑，再以厚雙層或多層紅色塑膠袋密封，外貼感染性標誌，註明產生單位、日期，並保持冷凍防腐（低於攝氏零下</w:t>
      </w:r>
      <w:r w:rsidRPr="00E567F3">
        <w:rPr>
          <w:rFonts w:eastAsia="標楷體" w:hint="eastAsia"/>
          <w:spacing w:val="-4"/>
          <w:kern w:val="0"/>
          <w:szCs w:val="24"/>
        </w:rPr>
        <w:t xml:space="preserve"> </w:t>
      </w:r>
      <w:r w:rsidRPr="00E567F3">
        <w:rPr>
          <w:rFonts w:eastAsia="標楷體"/>
          <w:spacing w:val="-4"/>
          <w:kern w:val="0"/>
          <w:szCs w:val="24"/>
        </w:rPr>
        <w:t>10</w:t>
      </w:r>
      <w:r w:rsidRPr="00E567F3">
        <w:rPr>
          <w:rFonts w:eastAsia="標楷體" w:hint="eastAsia"/>
          <w:spacing w:val="-4"/>
          <w:kern w:val="0"/>
          <w:szCs w:val="24"/>
        </w:rPr>
        <w:t xml:space="preserve"> </w:t>
      </w:r>
      <w:r w:rsidRPr="00E567F3">
        <w:rPr>
          <w:rFonts w:eastAsia="標楷體" w:hint="eastAsia"/>
          <w:spacing w:val="-4"/>
          <w:kern w:val="0"/>
          <w:szCs w:val="24"/>
        </w:rPr>
        <w:t>度）。</w:t>
      </w:r>
    </w:p>
    <w:p w:rsidR="00B97347" w:rsidRPr="00E567F3" w:rsidRDefault="000D3E9D" w:rsidP="00E567F3">
      <w:pPr>
        <w:snapToGrid w:val="0"/>
        <w:spacing w:line="360" w:lineRule="auto"/>
        <w:ind w:left="529" w:hangingChars="220" w:hanging="529"/>
        <w:jc w:val="both"/>
        <w:rPr>
          <w:rFonts w:eastAsia="標楷體"/>
          <w:b/>
          <w:kern w:val="0"/>
          <w:szCs w:val="24"/>
        </w:rPr>
      </w:pPr>
      <w:r w:rsidRPr="00E567F3">
        <w:rPr>
          <w:rFonts w:eastAsia="標楷體" w:hint="eastAsia"/>
          <w:b/>
          <w:kern w:val="0"/>
          <w:szCs w:val="24"/>
        </w:rPr>
        <w:t>四</w:t>
      </w:r>
      <w:r w:rsidR="00B97347" w:rsidRPr="00E567F3">
        <w:rPr>
          <w:rFonts w:eastAsia="標楷體" w:hint="eastAsia"/>
          <w:b/>
          <w:kern w:val="0"/>
          <w:szCs w:val="24"/>
        </w:rPr>
        <w:t>、</w:t>
      </w:r>
      <w:r w:rsidRPr="00E567F3">
        <w:rPr>
          <w:rFonts w:eastAsia="標楷體" w:hint="eastAsia"/>
          <w:b/>
          <w:bCs/>
          <w:kern w:val="0"/>
          <w:szCs w:val="24"/>
        </w:rPr>
        <w:t>液體廢</w:t>
      </w:r>
      <w:r w:rsidRPr="00E567F3">
        <w:rPr>
          <w:rFonts w:eastAsia="標楷體" w:hint="eastAsia"/>
          <w:b/>
          <w:bCs/>
          <w:szCs w:val="24"/>
        </w:rPr>
        <w:t>棄物</w:t>
      </w:r>
      <w:r w:rsidR="00B97347" w:rsidRPr="00E567F3">
        <w:rPr>
          <w:rFonts w:eastAsia="標楷體" w:hint="eastAsia"/>
          <w:b/>
          <w:szCs w:val="24"/>
        </w:rPr>
        <w:t>分類</w:t>
      </w:r>
    </w:p>
    <w:p w:rsidR="00B97347" w:rsidRPr="00E567F3" w:rsidRDefault="00B97347" w:rsidP="00E567F3">
      <w:pPr>
        <w:autoSpaceDE w:val="0"/>
        <w:autoSpaceDN w:val="0"/>
        <w:adjustRightInd w:val="0"/>
        <w:snapToGrid w:val="0"/>
        <w:spacing w:line="360" w:lineRule="auto"/>
        <w:ind w:leftChars="250" w:left="600" w:right="51" w:firstLineChars="214" w:firstLine="514"/>
        <w:rPr>
          <w:rFonts w:eastAsia="標楷體"/>
          <w:kern w:val="0"/>
          <w:szCs w:val="24"/>
        </w:rPr>
      </w:pPr>
      <w:r w:rsidRPr="00E567F3">
        <w:rPr>
          <w:rFonts w:eastAsia="標楷體" w:hint="eastAsia"/>
          <w:kern w:val="0"/>
          <w:szCs w:val="24"/>
        </w:rPr>
        <w:t>液體放射性廢</w:t>
      </w:r>
      <w:r w:rsidRPr="00E567F3">
        <w:rPr>
          <w:rFonts w:eastAsia="標楷體" w:hint="eastAsia"/>
          <w:szCs w:val="24"/>
        </w:rPr>
        <w:t>棄物</w:t>
      </w:r>
      <w:r w:rsidRPr="00E567F3">
        <w:rPr>
          <w:rFonts w:eastAsia="標楷體" w:hint="eastAsia"/>
          <w:kern w:val="0"/>
          <w:szCs w:val="24"/>
        </w:rPr>
        <w:t>應按有機廢液、無機廢液、有機含氚廢液、無機含氚廢液分別收集。</w:t>
      </w:r>
    </w:p>
    <w:p w:rsidR="00B97347" w:rsidRPr="00E567F3" w:rsidRDefault="000D3E9D" w:rsidP="00E567F3">
      <w:pPr>
        <w:snapToGrid w:val="0"/>
        <w:spacing w:line="360" w:lineRule="auto"/>
        <w:ind w:left="529" w:hangingChars="220" w:hanging="529"/>
        <w:jc w:val="both"/>
        <w:rPr>
          <w:rFonts w:eastAsia="標楷體"/>
          <w:b/>
          <w:kern w:val="0"/>
          <w:szCs w:val="24"/>
        </w:rPr>
      </w:pPr>
      <w:r w:rsidRPr="00E567F3">
        <w:rPr>
          <w:rFonts w:eastAsia="標楷體" w:hint="eastAsia"/>
          <w:b/>
          <w:kern w:val="0"/>
          <w:szCs w:val="24"/>
        </w:rPr>
        <w:t>五</w:t>
      </w:r>
      <w:r w:rsidR="00B97347" w:rsidRPr="00E567F3">
        <w:rPr>
          <w:rFonts w:eastAsia="標楷體" w:hint="eastAsia"/>
          <w:b/>
          <w:kern w:val="0"/>
          <w:szCs w:val="24"/>
        </w:rPr>
        <w:t>、</w:t>
      </w:r>
      <w:r w:rsidRPr="00E567F3">
        <w:rPr>
          <w:rFonts w:eastAsia="標楷體" w:hint="eastAsia"/>
          <w:b/>
          <w:bCs/>
          <w:kern w:val="0"/>
          <w:szCs w:val="24"/>
        </w:rPr>
        <w:t>液體廢</w:t>
      </w:r>
      <w:r w:rsidRPr="00E567F3">
        <w:rPr>
          <w:rFonts w:eastAsia="標楷體" w:hint="eastAsia"/>
          <w:b/>
          <w:bCs/>
          <w:szCs w:val="24"/>
        </w:rPr>
        <w:t>棄物</w:t>
      </w:r>
      <w:r w:rsidR="00B97347" w:rsidRPr="00E567F3">
        <w:rPr>
          <w:rFonts w:eastAsia="標楷體" w:hint="eastAsia"/>
          <w:b/>
          <w:kern w:val="0"/>
          <w:szCs w:val="24"/>
        </w:rPr>
        <w:t>包裝及</w:t>
      </w:r>
      <w:r w:rsidR="00B97347" w:rsidRPr="00E567F3">
        <w:rPr>
          <w:rFonts w:eastAsia="標楷體" w:hint="eastAsia"/>
          <w:b/>
          <w:szCs w:val="24"/>
        </w:rPr>
        <w:t>標示</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一</w:t>
      </w:r>
      <w:r w:rsidRPr="00E567F3">
        <w:rPr>
          <w:rFonts w:eastAsia="標楷體" w:hint="eastAsia"/>
          <w:kern w:val="0"/>
          <w:szCs w:val="24"/>
        </w:rPr>
        <w:t xml:space="preserve">) </w:t>
      </w:r>
      <w:r w:rsidRPr="00E567F3">
        <w:rPr>
          <w:rFonts w:eastAsia="標楷體" w:hint="eastAsia"/>
          <w:kern w:val="0"/>
          <w:szCs w:val="24"/>
        </w:rPr>
        <w:t>液體放射性廢</w:t>
      </w:r>
      <w:r w:rsidRPr="00E567F3">
        <w:rPr>
          <w:rFonts w:eastAsia="標楷體" w:hint="eastAsia"/>
          <w:szCs w:val="24"/>
        </w:rPr>
        <w:t>棄物</w:t>
      </w:r>
      <w:r w:rsidRPr="00E567F3">
        <w:rPr>
          <w:rFonts w:eastAsia="標楷體" w:hint="eastAsia"/>
          <w:kern w:val="0"/>
          <w:szCs w:val="24"/>
        </w:rPr>
        <w:t>按廢液分類後，以</w:t>
      </w:r>
      <w:r w:rsidRPr="00E567F3">
        <w:rPr>
          <w:rFonts w:eastAsia="標楷體" w:hint="eastAsia"/>
          <w:kern w:val="0"/>
          <w:szCs w:val="24"/>
        </w:rPr>
        <w:t xml:space="preserve"> </w:t>
      </w:r>
      <w:r w:rsidRPr="00E567F3">
        <w:rPr>
          <w:rFonts w:eastAsia="標楷體"/>
          <w:kern w:val="0"/>
          <w:szCs w:val="24"/>
        </w:rPr>
        <w:t>20</w:t>
      </w:r>
      <w:r w:rsidRPr="00E567F3">
        <w:rPr>
          <w:rFonts w:eastAsia="標楷體" w:hint="eastAsia"/>
          <w:kern w:val="0"/>
          <w:szCs w:val="24"/>
        </w:rPr>
        <w:t xml:space="preserve"> </w:t>
      </w:r>
      <w:r w:rsidRPr="00E567F3">
        <w:rPr>
          <w:rFonts w:eastAsia="標楷體" w:hint="eastAsia"/>
          <w:kern w:val="0"/>
          <w:szCs w:val="24"/>
        </w:rPr>
        <w:t>公升（或</w:t>
      </w:r>
      <w:r w:rsidRPr="00E567F3">
        <w:rPr>
          <w:rFonts w:eastAsia="標楷體" w:hint="eastAsia"/>
          <w:kern w:val="0"/>
          <w:szCs w:val="24"/>
        </w:rPr>
        <w:t xml:space="preserve"> 30 </w:t>
      </w:r>
      <w:r w:rsidRPr="00E567F3">
        <w:rPr>
          <w:rFonts w:eastAsia="標楷體" w:hint="eastAsia"/>
          <w:kern w:val="0"/>
          <w:szCs w:val="24"/>
        </w:rPr>
        <w:t>公升）耐腐蝕容器分別貯存之。</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kern w:val="0"/>
          <w:szCs w:val="24"/>
        </w:rPr>
      </w:pPr>
      <w:r w:rsidRPr="00E567F3">
        <w:rPr>
          <w:rFonts w:eastAsia="標楷體" w:hint="eastAsia"/>
          <w:kern w:val="0"/>
          <w:szCs w:val="24"/>
        </w:rPr>
        <w:t>(</w:t>
      </w:r>
      <w:r w:rsidRPr="00E567F3">
        <w:rPr>
          <w:rFonts w:eastAsia="標楷體" w:hint="eastAsia"/>
          <w:kern w:val="0"/>
          <w:szCs w:val="24"/>
        </w:rPr>
        <w:t>二</w:t>
      </w:r>
      <w:r w:rsidRPr="00E567F3">
        <w:rPr>
          <w:rFonts w:eastAsia="標楷體" w:hint="eastAsia"/>
          <w:kern w:val="0"/>
          <w:szCs w:val="24"/>
        </w:rPr>
        <w:t xml:space="preserve">) </w:t>
      </w:r>
      <w:r w:rsidRPr="00E567F3">
        <w:rPr>
          <w:rFonts w:eastAsia="標楷體" w:hint="eastAsia"/>
          <w:kern w:val="0"/>
          <w:szCs w:val="24"/>
        </w:rPr>
        <w:t>具感染性之廢液先以</w:t>
      </w:r>
      <w:r w:rsidRPr="00E567F3">
        <w:rPr>
          <w:rFonts w:eastAsia="標楷體" w:hint="eastAsia"/>
          <w:kern w:val="0"/>
          <w:szCs w:val="24"/>
        </w:rPr>
        <w:t xml:space="preserve"> </w:t>
      </w:r>
      <w:r w:rsidRPr="00E567F3">
        <w:rPr>
          <w:rFonts w:eastAsia="標楷體"/>
          <w:kern w:val="0"/>
          <w:szCs w:val="24"/>
        </w:rPr>
        <w:t>20</w:t>
      </w:r>
      <w:r w:rsidRPr="00E567F3">
        <w:rPr>
          <w:rFonts w:eastAsia="標楷體" w:hint="eastAsia"/>
          <w:kern w:val="0"/>
          <w:szCs w:val="24"/>
        </w:rPr>
        <w:t xml:space="preserve"> </w:t>
      </w:r>
      <w:r w:rsidRPr="00E567F3">
        <w:rPr>
          <w:rFonts w:eastAsia="標楷體" w:hint="eastAsia"/>
          <w:kern w:val="0"/>
          <w:szCs w:val="24"/>
        </w:rPr>
        <w:t>公升（或</w:t>
      </w:r>
      <w:r w:rsidRPr="00E567F3">
        <w:rPr>
          <w:rFonts w:eastAsia="標楷體" w:hint="eastAsia"/>
          <w:kern w:val="0"/>
          <w:szCs w:val="24"/>
        </w:rPr>
        <w:t xml:space="preserve"> 30 </w:t>
      </w:r>
      <w:r w:rsidRPr="00E567F3">
        <w:rPr>
          <w:rFonts w:eastAsia="標楷體" w:hint="eastAsia"/>
          <w:kern w:val="0"/>
          <w:szCs w:val="24"/>
        </w:rPr>
        <w:t>公升）</w:t>
      </w:r>
      <w:r w:rsidRPr="00E567F3">
        <w:rPr>
          <w:rFonts w:eastAsia="標楷體"/>
          <w:kern w:val="0"/>
          <w:szCs w:val="24"/>
        </w:rPr>
        <w:t>PE</w:t>
      </w:r>
      <w:r w:rsidRPr="00E567F3">
        <w:rPr>
          <w:rFonts w:eastAsia="標楷體" w:hint="eastAsia"/>
          <w:kern w:val="0"/>
          <w:szCs w:val="24"/>
        </w:rPr>
        <w:t>塑膠桶收集，加入消毒滅菌劑後貯存，並維持滅菌劑於有效期限內（必要時再加入藥劑），直至本所接收止。包裝容器外應粘貼感染性標誌並註明產生單位及日期。</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hint="eastAsia"/>
          <w:kern w:val="0"/>
          <w:szCs w:val="24"/>
        </w:rPr>
      </w:pPr>
      <w:r w:rsidRPr="00E567F3">
        <w:rPr>
          <w:rFonts w:eastAsia="標楷體" w:hint="eastAsia"/>
          <w:kern w:val="0"/>
          <w:szCs w:val="24"/>
        </w:rPr>
        <w:t>(</w:t>
      </w:r>
      <w:r w:rsidRPr="00E567F3">
        <w:rPr>
          <w:rFonts w:eastAsia="標楷體" w:hint="eastAsia"/>
          <w:kern w:val="0"/>
          <w:szCs w:val="24"/>
        </w:rPr>
        <w:t>三</w:t>
      </w:r>
      <w:r w:rsidRPr="00E567F3">
        <w:rPr>
          <w:rFonts w:eastAsia="標楷體" w:hint="eastAsia"/>
          <w:kern w:val="0"/>
          <w:szCs w:val="24"/>
        </w:rPr>
        <w:t xml:space="preserve">) </w:t>
      </w:r>
      <w:r w:rsidRPr="00E567F3">
        <w:rPr>
          <w:rFonts w:eastAsia="標楷體" w:hint="eastAsia"/>
          <w:kern w:val="0"/>
          <w:szCs w:val="24"/>
        </w:rPr>
        <w:t>堪用之盛裝容器，本所按接收數量交還申請機構重複再行盛裝液體放射性廢</w:t>
      </w:r>
      <w:r w:rsidRPr="00E567F3">
        <w:rPr>
          <w:rFonts w:eastAsia="標楷體" w:hint="eastAsia"/>
          <w:szCs w:val="24"/>
        </w:rPr>
        <w:t>棄物</w:t>
      </w:r>
      <w:r w:rsidRPr="00E567F3">
        <w:rPr>
          <w:rFonts w:eastAsia="標楷體" w:hint="eastAsia"/>
          <w:kern w:val="0"/>
          <w:szCs w:val="24"/>
        </w:rPr>
        <w:t>。</w:t>
      </w:r>
    </w:p>
    <w:p w:rsidR="00B97347" w:rsidRPr="00E567F3" w:rsidRDefault="00B97347" w:rsidP="00E567F3">
      <w:pPr>
        <w:autoSpaceDE w:val="0"/>
        <w:autoSpaceDN w:val="0"/>
        <w:adjustRightInd w:val="0"/>
        <w:snapToGrid w:val="0"/>
        <w:spacing w:line="360" w:lineRule="auto"/>
        <w:ind w:leftChars="129" w:left="860" w:rightChars="-20" w:right="-48" w:hangingChars="229" w:hanging="550"/>
        <w:jc w:val="both"/>
        <w:rPr>
          <w:rFonts w:eastAsia="標楷體" w:hint="eastAsia"/>
          <w:kern w:val="0"/>
          <w:szCs w:val="24"/>
        </w:rPr>
      </w:pPr>
      <w:r w:rsidRPr="00E567F3">
        <w:rPr>
          <w:rFonts w:eastAsia="標楷體" w:hint="eastAsia"/>
          <w:kern w:val="0"/>
          <w:szCs w:val="24"/>
        </w:rPr>
        <w:t>(</w:t>
      </w:r>
      <w:r w:rsidRPr="00E567F3">
        <w:rPr>
          <w:rFonts w:eastAsia="標楷體" w:hint="eastAsia"/>
          <w:kern w:val="0"/>
          <w:szCs w:val="24"/>
        </w:rPr>
        <w:t>四</w:t>
      </w:r>
      <w:r w:rsidRPr="00E567F3">
        <w:rPr>
          <w:rFonts w:eastAsia="標楷體" w:hint="eastAsia"/>
          <w:kern w:val="0"/>
          <w:szCs w:val="24"/>
        </w:rPr>
        <w:t xml:space="preserve">) </w:t>
      </w:r>
      <w:r w:rsidRPr="00E567F3">
        <w:rPr>
          <w:rFonts w:eastAsia="標楷體" w:hint="eastAsia"/>
          <w:kern w:val="0"/>
          <w:szCs w:val="24"/>
        </w:rPr>
        <w:t>不堪用之盛裝容器需按固體放射性廢</w:t>
      </w:r>
      <w:r w:rsidRPr="00E567F3">
        <w:rPr>
          <w:rFonts w:eastAsia="標楷體" w:hint="eastAsia"/>
          <w:szCs w:val="24"/>
        </w:rPr>
        <w:t>棄物</w:t>
      </w:r>
      <w:r w:rsidRPr="00E567F3">
        <w:rPr>
          <w:rFonts w:eastAsia="標楷體" w:hint="eastAsia"/>
          <w:spacing w:val="2"/>
          <w:kern w:val="0"/>
          <w:szCs w:val="24"/>
        </w:rPr>
        <w:t>處理</w:t>
      </w:r>
      <w:r w:rsidRPr="00E567F3">
        <w:rPr>
          <w:rFonts w:eastAsia="標楷體" w:hint="eastAsia"/>
          <w:kern w:val="0"/>
          <w:szCs w:val="24"/>
        </w:rPr>
        <w:t>之。</w:t>
      </w:r>
    </w:p>
    <w:p w:rsidR="00B97347" w:rsidRPr="00E567F3" w:rsidRDefault="000D3E9D" w:rsidP="00E567F3">
      <w:pPr>
        <w:snapToGrid w:val="0"/>
        <w:spacing w:line="360" w:lineRule="auto"/>
        <w:ind w:leftChars="58" w:left="619" w:hangingChars="200" w:hanging="480"/>
        <w:jc w:val="both"/>
        <w:rPr>
          <w:rFonts w:eastAsia="標楷體" w:hint="eastAsia"/>
          <w:b/>
          <w:szCs w:val="24"/>
        </w:rPr>
      </w:pPr>
      <w:r w:rsidRPr="00E567F3">
        <w:rPr>
          <w:rFonts w:eastAsia="標楷體" w:hint="eastAsia"/>
          <w:b/>
          <w:szCs w:val="24"/>
        </w:rPr>
        <w:t>六、其他</w:t>
      </w:r>
    </w:p>
    <w:p w:rsidR="00051549" w:rsidRDefault="00B97347" w:rsidP="00051549">
      <w:pPr>
        <w:numPr>
          <w:ilvl w:val="0"/>
          <w:numId w:val="1"/>
        </w:numPr>
        <w:tabs>
          <w:tab w:val="left" w:pos="720"/>
        </w:tabs>
        <w:snapToGrid w:val="0"/>
        <w:spacing w:line="360" w:lineRule="auto"/>
        <w:jc w:val="both"/>
        <w:rPr>
          <w:rFonts w:eastAsia="標楷體" w:hint="eastAsia"/>
          <w:szCs w:val="24"/>
        </w:rPr>
      </w:pPr>
      <w:r w:rsidRPr="00E567F3">
        <w:rPr>
          <w:rFonts w:eastAsia="標楷體" w:hint="eastAsia"/>
          <w:szCs w:val="24"/>
        </w:rPr>
        <w:t>放</w:t>
      </w:r>
      <w:r w:rsidRPr="00E567F3">
        <w:rPr>
          <w:rFonts w:eastAsia="標楷體" w:hint="eastAsia"/>
          <w:spacing w:val="-4"/>
          <w:szCs w:val="24"/>
        </w:rPr>
        <w:t>射性廢棄物</w:t>
      </w:r>
      <w:r w:rsidRPr="00E567F3">
        <w:rPr>
          <w:rFonts w:eastAsia="標楷體" w:hint="eastAsia"/>
          <w:spacing w:val="-4"/>
          <w:kern w:val="0"/>
          <w:szCs w:val="24"/>
        </w:rPr>
        <w:t>處理貯存及最終處置費收費標準</w:t>
      </w:r>
      <w:r w:rsidRPr="00E567F3">
        <w:rPr>
          <w:rFonts w:eastAsia="標楷體" w:hint="eastAsia"/>
          <w:spacing w:val="-4"/>
          <w:szCs w:val="24"/>
        </w:rPr>
        <w:t>依</w:t>
      </w:r>
      <w:r w:rsidR="00FF6DDE">
        <w:rPr>
          <w:rFonts w:eastAsia="標楷體" w:hint="eastAsia"/>
          <w:spacing w:val="-4"/>
          <w:szCs w:val="24"/>
        </w:rPr>
        <w:t>「</w:t>
      </w:r>
      <w:r w:rsidRPr="00E567F3">
        <w:rPr>
          <w:rFonts w:ascii="標楷體" w:eastAsia="標楷體" w:hint="eastAsia"/>
          <w:spacing w:val="-4"/>
          <w:szCs w:val="24"/>
        </w:rPr>
        <w:t>行政院原子能委員會核能研究所接收各類放射性廢棄物處理貯存及最終處置收費基準表</w:t>
      </w:r>
      <w:r w:rsidR="00FF6DDE">
        <w:rPr>
          <w:rFonts w:eastAsia="標楷體" w:hint="eastAsia"/>
          <w:spacing w:val="-4"/>
          <w:szCs w:val="24"/>
        </w:rPr>
        <w:t>」</w:t>
      </w:r>
      <w:r w:rsidRPr="00E567F3">
        <w:rPr>
          <w:rFonts w:eastAsia="標楷體" w:hint="eastAsia"/>
          <w:spacing w:val="-4"/>
          <w:szCs w:val="24"/>
        </w:rPr>
        <w:t>收取費用。</w:t>
      </w:r>
      <w:r w:rsidRPr="00E567F3">
        <w:rPr>
          <w:rFonts w:eastAsia="標楷體" w:hint="eastAsia"/>
          <w:kern w:val="0"/>
          <w:szCs w:val="24"/>
        </w:rPr>
        <w:t>申請機構未按規定分類、包裝及標示放射性廢</w:t>
      </w:r>
      <w:r w:rsidRPr="00E567F3">
        <w:rPr>
          <w:rFonts w:eastAsia="標楷體" w:hint="eastAsia"/>
          <w:szCs w:val="24"/>
        </w:rPr>
        <w:t>棄物</w:t>
      </w:r>
      <w:r w:rsidRPr="00E567F3">
        <w:rPr>
          <w:rFonts w:eastAsia="標楷體" w:hint="eastAsia"/>
          <w:kern w:val="0"/>
          <w:szCs w:val="24"/>
        </w:rPr>
        <w:t>時，</w:t>
      </w:r>
      <w:r w:rsidR="00051549">
        <w:rPr>
          <w:rFonts w:eastAsia="標楷體" w:hint="eastAsia"/>
          <w:kern w:val="0"/>
          <w:szCs w:val="24"/>
        </w:rPr>
        <w:t>核研</w:t>
      </w:r>
      <w:r w:rsidRPr="00E567F3">
        <w:rPr>
          <w:rFonts w:eastAsia="標楷體" w:hint="eastAsia"/>
          <w:kern w:val="0"/>
          <w:szCs w:val="24"/>
        </w:rPr>
        <w:t>所得將包件退回申請機構改善後，再行申請。</w:t>
      </w:r>
    </w:p>
    <w:p w:rsidR="00B97347" w:rsidRPr="00051549" w:rsidRDefault="00B97347" w:rsidP="00051549">
      <w:pPr>
        <w:numPr>
          <w:ilvl w:val="0"/>
          <w:numId w:val="1"/>
        </w:numPr>
        <w:tabs>
          <w:tab w:val="left" w:pos="720"/>
        </w:tabs>
        <w:snapToGrid w:val="0"/>
        <w:spacing w:line="360" w:lineRule="auto"/>
        <w:jc w:val="both"/>
        <w:rPr>
          <w:rFonts w:eastAsia="標楷體" w:hint="eastAsia"/>
          <w:szCs w:val="24"/>
        </w:rPr>
      </w:pPr>
      <w:r w:rsidRPr="00E567F3">
        <w:rPr>
          <w:rFonts w:eastAsia="標楷體" w:hint="eastAsia"/>
          <w:kern w:val="0"/>
          <w:szCs w:val="24"/>
        </w:rPr>
        <w:t>放</w:t>
      </w:r>
      <w:r w:rsidRPr="00E567F3">
        <w:rPr>
          <w:rFonts w:eastAsia="標楷體" w:hint="eastAsia"/>
          <w:spacing w:val="6"/>
          <w:kern w:val="0"/>
          <w:szCs w:val="24"/>
        </w:rPr>
        <w:t>射性</w:t>
      </w:r>
      <w:r w:rsidRPr="00E567F3">
        <w:rPr>
          <w:rFonts w:eastAsia="標楷體" w:hint="eastAsia"/>
          <w:spacing w:val="6"/>
          <w:szCs w:val="24"/>
        </w:rPr>
        <w:t>廢棄物</w:t>
      </w:r>
      <w:r w:rsidRPr="00E567F3">
        <w:rPr>
          <w:rFonts w:eastAsia="標楷體" w:hint="eastAsia"/>
          <w:spacing w:val="6"/>
          <w:kern w:val="0"/>
          <w:szCs w:val="24"/>
        </w:rPr>
        <w:t>合乎主管機關公告之豁免管制者，本所得拒絕接收處理。</w:t>
      </w:r>
    </w:p>
    <w:p w:rsidR="00B97347" w:rsidRPr="00F67A72" w:rsidRDefault="00B97347" w:rsidP="00E567F3">
      <w:pPr>
        <w:numPr>
          <w:ilvl w:val="0"/>
          <w:numId w:val="1"/>
        </w:numPr>
        <w:snapToGrid w:val="0"/>
        <w:spacing w:line="360" w:lineRule="auto"/>
        <w:jc w:val="both"/>
        <w:rPr>
          <w:rFonts w:eastAsia="標楷體" w:hint="eastAsia"/>
          <w:kern w:val="0"/>
          <w:szCs w:val="24"/>
        </w:rPr>
      </w:pPr>
      <w:r w:rsidRPr="00E567F3">
        <w:rPr>
          <w:rFonts w:eastAsia="標楷體" w:hint="eastAsia"/>
          <w:szCs w:val="24"/>
        </w:rPr>
        <w:t>動物體</w:t>
      </w:r>
      <w:r w:rsidRPr="00E567F3">
        <w:rPr>
          <w:rFonts w:eastAsia="標楷體" w:hint="eastAsia"/>
          <w:szCs w:val="24"/>
        </w:rPr>
        <w:t>(</w:t>
      </w:r>
      <w:r w:rsidRPr="00E567F3">
        <w:rPr>
          <w:rFonts w:eastAsia="標楷體" w:hint="eastAsia"/>
          <w:szCs w:val="24"/>
        </w:rPr>
        <w:t>組織、屍體</w:t>
      </w:r>
      <w:r w:rsidRPr="00E567F3">
        <w:rPr>
          <w:rFonts w:eastAsia="標楷體" w:hint="eastAsia"/>
          <w:szCs w:val="24"/>
        </w:rPr>
        <w:t>)</w:t>
      </w:r>
      <w:r w:rsidRPr="00E567F3">
        <w:rPr>
          <w:rFonts w:eastAsia="標楷體" w:hint="eastAsia"/>
          <w:szCs w:val="24"/>
        </w:rPr>
        <w:t>之申請處理，需事先協調，在焚化爐起爐運轉期間才受理申請接收。</w:t>
      </w:r>
    </w:p>
    <w:p w:rsidR="00F67A72" w:rsidRDefault="00F67A72" w:rsidP="00F67A72">
      <w:pPr>
        <w:snapToGrid w:val="0"/>
        <w:spacing w:line="360" w:lineRule="auto"/>
        <w:jc w:val="both"/>
        <w:rPr>
          <w:rFonts w:eastAsia="標楷體" w:hint="eastAsia"/>
          <w:szCs w:val="24"/>
        </w:rPr>
      </w:pPr>
    </w:p>
    <w:p w:rsidR="00F67A72" w:rsidRPr="00E567F3" w:rsidRDefault="00F67A72" w:rsidP="00F67A72">
      <w:pPr>
        <w:snapToGrid w:val="0"/>
        <w:spacing w:line="360" w:lineRule="auto"/>
        <w:jc w:val="both"/>
        <w:rPr>
          <w:rFonts w:eastAsia="標楷體" w:hint="eastAsia"/>
          <w:kern w:val="0"/>
          <w:szCs w:val="24"/>
        </w:rPr>
      </w:pPr>
    </w:p>
    <w:p w:rsidR="002911F3" w:rsidRDefault="002911F3" w:rsidP="002911F3">
      <w:pPr>
        <w:pStyle w:val="Web"/>
        <w:widowControl w:val="0"/>
        <w:tabs>
          <w:tab w:val="left" w:pos="2520"/>
        </w:tabs>
        <w:spacing w:before="0" w:beforeAutospacing="0" w:afterLines="50" w:afterAutospacing="0" w:line="360" w:lineRule="auto"/>
        <w:rPr>
          <w:rFonts w:eastAsia="標楷體" w:hint="eastAsia"/>
          <w:b/>
          <w:bCs/>
          <w:sz w:val="28"/>
          <w:szCs w:val="28"/>
        </w:rPr>
      </w:pPr>
      <w:r>
        <w:rPr>
          <w:rFonts w:eastAsia="標楷體" w:hint="eastAsia"/>
          <w:b/>
          <w:bCs/>
          <w:sz w:val="28"/>
          <w:szCs w:val="28"/>
        </w:rPr>
        <w:lastRenderedPageBreak/>
        <w:t>附表</w:t>
      </w:r>
    </w:p>
    <w:p w:rsidR="002911F3" w:rsidRPr="00502912" w:rsidRDefault="002911F3" w:rsidP="002911F3">
      <w:pPr>
        <w:pStyle w:val="Web"/>
        <w:widowControl w:val="0"/>
        <w:tabs>
          <w:tab w:val="left" w:pos="2520"/>
        </w:tabs>
        <w:spacing w:before="0" w:beforeAutospacing="0" w:afterLines="50" w:afterAutospacing="0" w:line="360" w:lineRule="auto"/>
        <w:jc w:val="center"/>
        <w:rPr>
          <w:rFonts w:eastAsia="標楷體" w:hint="eastAsia"/>
          <w:sz w:val="28"/>
          <w:szCs w:val="28"/>
        </w:rPr>
      </w:pPr>
      <w:r w:rsidRPr="00502912">
        <w:rPr>
          <w:rFonts w:eastAsia="標楷體" w:hint="eastAsia"/>
          <w:b/>
          <w:bCs/>
          <w:sz w:val="28"/>
          <w:szCs w:val="28"/>
        </w:rPr>
        <w:t>放射性廢棄物代碼表</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1920"/>
        <w:gridCol w:w="840"/>
        <w:gridCol w:w="2040"/>
        <w:gridCol w:w="840"/>
        <w:gridCol w:w="1920"/>
        <w:gridCol w:w="840"/>
      </w:tblGrid>
      <w:tr w:rsidR="002911F3" w:rsidRPr="00502912">
        <w:tblPrEx>
          <w:tblCellMar>
            <w:top w:w="0" w:type="dxa"/>
            <w:bottom w:w="0" w:type="dxa"/>
          </w:tblCellMar>
        </w:tblPrEx>
        <w:trPr>
          <w:cantSplit/>
          <w:trHeight w:val="567"/>
          <w:jc w:val="center"/>
        </w:trPr>
        <w:tc>
          <w:tcPr>
            <w:tcW w:w="748" w:type="dxa"/>
            <w:vAlign w:val="center"/>
          </w:tcPr>
          <w:p w:rsidR="002911F3" w:rsidRPr="00502912" w:rsidRDefault="002911F3" w:rsidP="002E7C1A">
            <w:pPr>
              <w:spacing w:line="360" w:lineRule="auto"/>
              <w:jc w:val="center"/>
              <w:rPr>
                <w:rFonts w:eastAsia="標楷體" w:hint="eastAsia"/>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廢棄物類別</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代碼</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廢棄物類別</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代碼</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廢棄物類別</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代碼</w:t>
            </w:r>
          </w:p>
        </w:tc>
      </w:tr>
      <w:tr w:rsidR="002911F3" w:rsidRPr="00502912">
        <w:tblPrEx>
          <w:tblCellMar>
            <w:top w:w="0" w:type="dxa"/>
            <w:bottom w:w="0" w:type="dxa"/>
          </w:tblCellMar>
        </w:tblPrEx>
        <w:trPr>
          <w:cantSplit/>
          <w:trHeight w:val="70"/>
          <w:jc w:val="center"/>
        </w:trPr>
        <w:tc>
          <w:tcPr>
            <w:tcW w:w="748" w:type="dxa"/>
            <w:vMerge w:val="restart"/>
            <w:vAlign w:val="center"/>
          </w:tcPr>
          <w:p w:rsidR="002911F3" w:rsidRPr="00502912" w:rsidRDefault="002911F3" w:rsidP="002E7C1A">
            <w:pPr>
              <w:jc w:val="center"/>
              <w:rPr>
                <w:rFonts w:eastAsia="標楷體"/>
                <w:szCs w:val="24"/>
              </w:rPr>
            </w:pPr>
            <w:r w:rsidRPr="00502912">
              <w:rPr>
                <w:rFonts w:eastAsia="標楷體" w:hint="eastAsia"/>
                <w:szCs w:val="24"/>
              </w:rPr>
              <w:t>可燃性固體廢棄物</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紙布木</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B</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聚乙</w:t>
            </w:r>
            <w:r w:rsidRPr="00502912">
              <w:rPr>
                <w:rFonts w:eastAsia="標楷體" w:hint="eastAsia"/>
                <w:szCs w:val="24"/>
              </w:rPr>
              <w:t>(</w:t>
            </w:r>
            <w:r w:rsidRPr="00502912">
              <w:rPr>
                <w:rFonts w:eastAsia="標楷體" w:hint="eastAsia"/>
                <w:szCs w:val="24"/>
              </w:rPr>
              <w:t>丙</w:t>
            </w:r>
            <w:r w:rsidRPr="00502912">
              <w:rPr>
                <w:rFonts w:eastAsia="標楷體" w:hint="eastAsia"/>
                <w:szCs w:val="24"/>
              </w:rPr>
              <w:t>)</w:t>
            </w:r>
            <w:r w:rsidRPr="00502912">
              <w:rPr>
                <w:rFonts w:eastAsia="標楷體" w:hint="eastAsia"/>
                <w:szCs w:val="24"/>
              </w:rPr>
              <w:t>烯塑膠</w:t>
            </w:r>
          </w:p>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w:t>
            </w:r>
            <w:r w:rsidRPr="00502912">
              <w:rPr>
                <w:rFonts w:eastAsia="標楷體" w:hint="eastAsia"/>
                <w:szCs w:val="24"/>
              </w:rPr>
              <w:t>PP</w:t>
            </w:r>
            <w:r w:rsidRPr="00502912">
              <w:rPr>
                <w:rFonts w:eastAsia="標楷體" w:hint="eastAsia"/>
                <w:szCs w:val="24"/>
              </w:rPr>
              <w:t>、</w:t>
            </w:r>
            <w:r w:rsidRPr="00502912">
              <w:rPr>
                <w:rFonts w:eastAsia="標楷體" w:hint="eastAsia"/>
                <w:szCs w:val="24"/>
              </w:rPr>
              <w:t>PE</w:t>
            </w:r>
            <w:r w:rsidRPr="00502912">
              <w:rPr>
                <w:rFonts w:eastAsia="標楷體" w:hint="eastAsia"/>
                <w:szCs w:val="24"/>
              </w:rPr>
              <w:t>）</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P</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非聚乙</w:t>
            </w:r>
            <w:r w:rsidRPr="00502912">
              <w:rPr>
                <w:rFonts w:eastAsia="標楷體" w:hint="eastAsia"/>
                <w:szCs w:val="24"/>
              </w:rPr>
              <w:t>(</w:t>
            </w:r>
            <w:r w:rsidRPr="00502912">
              <w:rPr>
                <w:rFonts w:eastAsia="標楷體" w:hint="eastAsia"/>
                <w:szCs w:val="24"/>
              </w:rPr>
              <w:t>丙</w:t>
            </w:r>
            <w:r w:rsidRPr="00502912">
              <w:rPr>
                <w:rFonts w:eastAsia="標楷體" w:hint="eastAsia"/>
                <w:szCs w:val="24"/>
              </w:rPr>
              <w:t>)</w:t>
            </w:r>
            <w:r w:rsidRPr="00502912">
              <w:rPr>
                <w:rFonts w:eastAsia="標楷體" w:hint="eastAsia"/>
                <w:szCs w:val="24"/>
              </w:rPr>
              <w:t>烯塑橡膠</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N</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動物體</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D</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廢油</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O</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活性碳</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AC</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其他可燃物</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XC</w:t>
            </w:r>
          </w:p>
        </w:tc>
        <w:tc>
          <w:tcPr>
            <w:tcW w:w="2040" w:type="dxa"/>
            <w:vAlign w:val="center"/>
          </w:tcPr>
          <w:p w:rsidR="002911F3" w:rsidRPr="00502912" w:rsidRDefault="002911F3" w:rsidP="002911F3">
            <w:pPr>
              <w:snapToGrid w:val="0"/>
              <w:spacing w:beforeLines="30" w:afterLines="30"/>
              <w:jc w:val="center"/>
              <w:rPr>
                <w:rFonts w:eastAsia="標楷體"/>
                <w:szCs w:val="24"/>
              </w:rPr>
            </w:pPr>
          </w:p>
        </w:tc>
        <w:tc>
          <w:tcPr>
            <w:tcW w:w="840" w:type="dxa"/>
            <w:vAlign w:val="center"/>
          </w:tcPr>
          <w:p w:rsidR="002911F3" w:rsidRPr="00502912" w:rsidRDefault="002911F3" w:rsidP="002911F3">
            <w:pPr>
              <w:snapToGrid w:val="0"/>
              <w:spacing w:beforeLines="30" w:afterLines="30"/>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szCs w:val="24"/>
              </w:rPr>
            </w:pPr>
          </w:p>
        </w:tc>
        <w:tc>
          <w:tcPr>
            <w:tcW w:w="840" w:type="dxa"/>
            <w:vAlign w:val="center"/>
          </w:tcPr>
          <w:p w:rsidR="002911F3" w:rsidRPr="00502912" w:rsidRDefault="002911F3" w:rsidP="002911F3">
            <w:pPr>
              <w:snapToGrid w:val="0"/>
              <w:spacing w:beforeLines="30" w:afterLines="30"/>
              <w:jc w:val="center"/>
              <w:rPr>
                <w:rFonts w:eastAsia="標楷體"/>
                <w:szCs w:val="24"/>
              </w:rPr>
            </w:pPr>
          </w:p>
        </w:tc>
      </w:tr>
      <w:tr w:rsidR="002911F3" w:rsidRPr="00502912">
        <w:tblPrEx>
          <w:tblCellMar>
            <w:top w:w="0" w:type="dxa"/>
            <w:bottom w:w="0" w:type="dxa"/>
          </w:tblCellMar>
        </w:tblPrEx>
        <w:trPr>
          <w:cantSplit/>
          <w:trHeight w:val="567"/>
          <w:jc w:val="center"/>
        </w:trPr>
        <w:tc>
          <w:tcPr>
            <w:tcW w:w="748" w:type="dxa"/>
            <w:vMerge w:val="restart"/>
            <w:vAlign w:val="center"/>
          </w:tcPr>
          <w:p w:rsidR="002911F3" w:rsidRPr="00502912" w:rsidRDefault="002911F3" w:rsidP="002E7C1A">
            <w:pPr>
              <w:spacing w:line="360" w:lineRule="auto"/>
              <w:jc w:val="center"/>
              <w:rPr>
                <w:rFonts w:eastAsia="標楷體"/>
                <w:szCs w:val="24"/>
              </w:rPr>
            </w:pPr>
            <w:r w:rsidRPr="00502912">
              <w:rPr>
                <w:rFonts w:eastAsia="標楷體" w:hint="eastAsia"/>
                <w:szCs w:val="24"/>
              </w:rPr>
              <w:t>非燃性固體廢棄物</w:t>
            </w: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鐵</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I</w:t>
            </w:r>
          </w:p>
        </w:tc>
        <w:tc>
          <w:tcPr>
            <w:tcW w:w="20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不銹鋼</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SS</w:t>
            </w: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鋁</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A</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銅</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C</w:t>
            </w:r>
          </w:p>
        </w:tc>
        <w:tc>
          <w:tcPr>
            <w:tcW w:w="20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鉛</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L</w:t>
            </w: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其他金屬</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XM</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砂石水泥</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E</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玻璃</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G</w:t>
            </w: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樹脂</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R</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電線、電纜</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W</w:t>
            </w:r>
          </w:p>
        </w:tc>
        <w:tc>
          <w:tcPr>
            <w:tcW w:w="20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前置過濾器</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FF</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絕對過濾器</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AF</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廢棄射源</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WS</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豁免廢射源</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SW</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輻鋼</w:t>
            </w:r>
            <w:r w:rsidRPr="00502912">
              <w:rPr>
                <w:rFonts w:eastAsia="標楷體"/>
                <w:szCs w:val="24"/>
              </w:rPr>
              <w:t>/</w:t>
            </w:r>
            <w:r w:rsidRPr="00502912">
              <w:rPr>
                <w:rFonts w:eastAsia="標楷體" w:hint="eastAsia"/>
                <w:szCs w:val="24"/>
              </w:rPr>
              <w:t>輻異物</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RF</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保溫棉</w:t>
            </w:r>
          </w:p>
        </w:tc>
        <w:tc>
          <w:tcPr>
            <w:tcW w:w="840" w:type="dxa"/>
            <w:vAlign w:val="center"/>
          </w:tcPr>
          <w:p w:rsidR="002911F3" w:rsidRPr="00502912" w:rsidRDefault="002911F3" w:rsidP="002911F3">
            <w:pPr>
              <w:snapToGrid w:val="0"/>
              <w:spacing w:beforeLines="30" w:afterLines="30"/>
              <w:jc w:val="center"/>
              <w:rPr>
                <w:rFonts w:eastAsia="標楷體" w:hint="eastAsia"/>
                <w:bCs/>
                <w:szCs w:val="24"/>
              </w:rPr>
            </w:pPr>
            <w:r w:rsidRPr="00502912">
              <w:rPr>
                <w:rFonts w:eastAsia="標楷體"/>
                <w:bCs/>
                <w:szCs w:val="24"/>
              </w:rPr>
              <w:t>RX</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非燃塑橡膠</w:t>
            </w:r>
            <w:r w:rsidRPr="00502912">
              <w:rPr>
                <w:rFonts w:eastAsia="標楷體" w:hint="eastAsia"/>
                <w:szCs w:val="24"/>
                <w:vertAlign w:val="superscript"/>
              </w:rPr>
              <w:t>★</w:t>
            </w:r>
            <w:r w:rsidRPr="00502912">
              <w:rPr>
                <w:rFonts w:eastAsia="標楷體" w:hint="eastAsia"/>
                <w:szCs w:val="24"/>
                <w:vertAlign w:val="superscript"/>
              </w:rPr>
              <w:t>1</w:t>
            </w:r>
          </w:p>
        </w:tc>
        <w:tc>
          <w:tcPr>
            <w:tcW w:w="840" w:type="dxa"/>
            <w:vAlign w:val="center"/>
          </w:tcPr>
          <w:p w:rsidR="002911F3" w:rsidRPr="00502912" w:rsidRDefault="002911F3" w:rsidP="002911F3">
            <w:pPr>
              <w:snapToGrid w:val="0"/>
              <w:spacing w:beforeLines="30" w:afterLines="30"/>
              <w:jc w:val="center"/>
              <w:rPr>
                <w:rFonts w:eastAsia="標楷體" w:hint="eastAsia"/>
                <w:bCs/>
                <w:szCs w:val="24"/>
              </w:rPr>
            </w:pPr>
            <w:r w:rsidRPr="00502912">
              <w:rPr>
                <w:rFonts w:eastAsia="標楷體" w:hint="eastAsia"/>
                <w:bCs/>
                <w:szCs w:val="24"/>
              </w:rPr>
              <w:t>NN</w:t>
            </w:r>
          </w:p>
        </w:tc>
        <w:tc>
          <w:tcPr>
            <w:tcW w:w="192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hint="eastAsia"/>
                <w:szCs w:val="24"/>
              </w:rPr>
              <w:t>混合廢棄物</w:t>
            </w:r>
            <w:r w:rsidRPr="00502912">
              <w:rPr>
                <w:rFonts w:eastAsia="標楷體" w:hint="eastAsia"/>
                <w:szCs w:val="24"/>
                <w:vertAlign w:val="superscript"/>
              </w:rPr>
              <w:t>★</w:t>
            </w:r>
            <w:r w:rsidRPr="00502912">
              <w:rPr>
                <w:rFonts w:eastAsia="標楷體" w:hint="eastAsia"/>
                <w:szCs w:val="24"/>
                <w:vertAlign w:val="superscript"/>
              </w:rPr>
              <w:t>2</w:t>
            </w:r>
          </w:p>
        </w:tc>
        <w:tc>
          <w:tcPr>
            <w:tcW w:w="840" w:type="dxa"/>
            <w:vAlign w:val="center"/>
          </w:tcPr>
          <w:p w:rsidR="002911F3" w:rsidRPr="00502912" w:rsidRDefault="002911F3" w:rsidP="002911F3">
            <w:pPr>
              <w:snapToGrid w:val="0"/>
              <w:spacing w:beforeLines="30" w:afterLines="30"/>
              <w:jc w:val="center"/>
              <w:rPr>
                <w:rFonts w:eastAsia="標楷體"/>
                <w:bCs/>
                <w:szCs w:val="24"/>
              </w:rPr>
            </w:pPr>
            <w:r w:rsidRPr="00502912">
              <w:rPr>
                <w:rFonts w:eastAsia="標楷體"/>
                <w:bCs/>
                <w:szCs w:val="24"/>
              </w:rPr>
              <w:t>M-**</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jc w:val="center"/>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其他廢棄物</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XN</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p>
        </w:tc>
        <w:tc>
          <w:tcPr>
            <w:tcW w:w="840" w:type="dxa"/>
            <w:vAlign w:val="center"/>
          </w:tcPr>
          <w:p w:rsidR="002911F3" w:rsidRPr="00502912" w:rsidRDefault="002911F3" w:rsidP="002911F3">
            <w:pPr>
              <w:snapToGrid w:val="0"/>
              <w:spacing w:beforeLines="30" w:afterLines="30"/>
              <w:jc w:val="center"/>
              <w:rPr>
                <w:rFonts w:eastAsia="標楷體"/>
                <w:bCs/>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p>
        </w:tc>
        <w:tc>
          <w:tcPr>
            <w:tcW w:w="840" w:type="dxa"/>
            <w:vAlign w:val="center"/>
          </w:tcPr>
          <w:p w:rsidR="002911F3" w:rsidRPr="00502912" w:rsidRDefault="002911F3" w:rsidP="002911F3">
            <w:pPr>
              <w:snapToGrid w:val="0"/>
              <w:spacing w:beforeLines="30" w:afterLines="30"/>
              <w:jc w:val="center"/>
              <w:rPr>
                <w:rFonts w:eastAsia="標楷體"/>
                <w:szCs w:val="24"/>
              </w:rPr>
            </w:pPr>
          </w:p>
        </w:tc>
      </w:tr>
      <w:tr w:rsidR="002911F3" w:rsidRPr="00502912">
        <w:tblPrEx>
          <w:tblCellMar>
            <w:top w:w="0" w:type="dxa"/>
            <w:bottom w:w="0" w:type="dxa"/>
          </w:tblCellMar>
        </w:tblPrEx>
        <w:trPr>
          <w:cantSplit/>
          <w:trHeight w:val="567"/>
          <w:jc w:val="center"/>
        </w:trPr>
        <w:tc>
          <w:tcPr>
            <w:tcW w:w="748" w:type="dxa"/>
            <w:vMerge w:val="restart"/>
            <w:vAlign w:val="center"/>
          </w:tcPr>
          <w:p w:rsidR="002911F3" w:rsidRPr="00502912" w:rsidRDefault="002911F3" w:rsidP="002E7C1A">
            <w:pPr>
              <w:spacing w:line="360" w:lineRule="auto"/>
              <w:jc w:val="center"/>
              <w:rPr>
                <w:rFonts w:eastAsia="標楷體" w:hint="eastAsia"/>
                <w:szCs w:val="24"/>
              </w:rPr>
            </w:pPr>
            <w:r w:rsidRPr="00502912">
              <w:rPr>
                <w:rFonts w:eastAsia="標楷體" w:hint="eastAsia"/>
                <w:szCs w:val="24"/>
              </w:rPr>
              <w:t>廢液</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無機廢液</w:t>
            </w:r>
          </w:p>
        </w:tc>
        <w:tc>
          <w:tcPr>
            <w:tcW w:w="840" w:type="dxa"/>
            <w:vAlign w:val="center"/>
          </w:tcPr>
          <w:p w:rsidR="002911F3" w:rsidRPr="00502912" w:rsidRDefault="002911F3" w:rsidP="002911F3">
            <w:pPr>
              <w:snapToGrid w:val="0"/>
              <w:spacing w:beforeLines="30" w:afterLines="30"/>
              <w:jc w:val="center"/>
              <w:rPr>
                <w:rFonts w:eastAsia="標楷體"/>
                <w:bCs/>
                <w:szCs w:val="24"/>
              </w:rPr>
            </w:pPr>
            <w:r w:rsidRPr="00502912">
              <w:rPr>
                <w:rFonts w:eastAsia="標楷體"/>
                <w:bCs/>
                <w:szCs w:val="24"/>
              </w:rPr>
              <w:t>I L</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有機廢液</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OL</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無機含氚廢液</w:t>
            </w:r>
          </w:p>
        </w:tc>
        <w:tc>
          <w:tcPr>
            <w:tcW w:w="840" w:type="dxa"/>
            <w:vAlign w:val="center"/>
          </w:tcPr>
          <w:p w:rsidR="002911F3" w:rsidRPr="00502912" w:rsidRDefault="002911F3" w:rsidP="002911F3">
            <w:pPr>
              <w:snapToGrid w:val="0"/>
              <w:spacing w:beforeLines="30" w:afterLines="30"/>
              <w:jc w:val="center"/>
              <w:rPr>
                <w:rFonts w:eastAsia="標楷體"/>
                <w:szCs w:val="24"/>
              </w:rPr>
            </w:pPr>
            <w:r w:rsidRPr="00502912">
              <w:rPr>
                <w:rFonts w:eastAsia="標楷體"/>
                <w:szCs w:val="24"/>
              </w:rPr>
              <w:t>I T</w:t>
            </w:r>
          </w:p>
        </w:tc>
      </w:tr>
      <w:tr w:rsidR="002911F3" w:rsidRPr="00502912">
        <w:tblPrEx>
          <w:tblCellMar>
            <w:top w:w="0" w:type="dxa"/>
            <w:bottom w:w="0" w:type="dxa"/>
          </w:tblCellMar>
        </w:tblPrEx>
        <w:trPr>
          <w:cantSplit/>
          <w:trHeight w:val="567"/>
          <w:jc w:val="center"/>
        </w:trPr>
        <w:tc>
          <w:tcPr>
            <w:tcW w:w="748" w:type="dxa"/>
            <w:vMerge/>
            <w:vAlign w:val="center"/>
          </w:tcPr>
          <w:p w:rsidR="002911F3" w:rsidRPr="00502912" w:rsidRDefault="002911F3" w:rsidP="002E7C1A">
            <w:pPr>
              <w:spacing w:line="360" w:lineRule="auto"/>
              <w:rPr>
                <w:rFonts w:eastAsia="標楷體"/>
                <w:szCs w:val="24"/>
              </w:rPr>
            </w:pP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有機含氚廢液</w:t>
            </w:r>
          </w:p>
        </w:tc>
        <w:tc>
          <w:tcPr>
            <w:tcW w:w="840" w:type="dxa"/>
            <w:vAlign w:val="center"/>
          </w:tcPr>
          <w:p w:rsidR="002911F3" w:rsidRPr="00502912" w:rsidRDefault="002911F3" w:rsidP="002911F3">
            <w:pPr>
              <w:snapToGrid w:val="0"/>
              <w:spacing w:beforeLines="30" w:afterLines="30"/>
              <w:jc w:val="center"/>
              <w:rPr>
                <w:rFonts w:eastAsia="標楷體"/>
                <w:bCs/>
                <w:szCs w:val="24"/>
              </w:rPr>
            </w:pPr>
            <w:r w:rsidRPr="00502912">
              <w:rPr>
                <w:rFonts w:eastAsia="標楷體"/>
                <w:bCs/>
                <w:szCs w:val="24"/>
              </w:rPr>
              <w:t>OT</w:t>
            </w:r>
          </w:p>
        </w:tc>
        <w:tc>
          <w:tcPr>
            <w:tcW w:w="20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hint="eastAsia"/>
                <w:szCs w:val="24"/>
              </w:rPr>
              <w:t>其他</w:t>
            </w:r>
          </w:p>
        </w:tc>
        <w:tc>
          <w:tcPr>
            <w:tcW w:w="840" w:type="dxa"/>
            <w:vAlign w:val="center"/>
          </w:tcPr>
          <w:p w:rsidR="002911F3" w:rsidRPr="00502912" w:rsidRDefault="002911F3" w:rsidP="002911F3">
            <w:pPr>
              <w:snapToGrid w:val="0"/>
              <w:spacing w:beforeLines="30" w:afterLines="30"/>
              <w:jc w:val="center"/>
              <w:rPr>
                <w:rFonts w:eastAsia="標楷體" w:hint="eastAsia"/>
                <w:szCs w:val="24"/>
              </w:rPr>
            </w:pPr>
            <w:r w:rsidRPr="00502912">
              <w:rPr>
                <w:rFonts w:eastAsia="標楷體"/>
                <w:szCs w:val="24"/>
              </w:rPr>
              <w:t>XL</w:t>
            </w:r>
          </w:p>
        </w:tc>
        <w:tc>
          <w:tcPr>
            <w:tcW w:w="1920" w:type="dxa"/>
            <w:vAlign w:val="center"/>
          </w:tcPr>
          <w:p w:rsidR="002911F3" w:rsidRPr="00502912" w:rsidRDefault="002911F3" w:rsidP="002911F3">
            <w:pPr>
              <w:snapToGrid w:val="0"/>
              <w:spacing w:beforeLines="30" w:afterLines="30"/>
              <w:jc w:val="center"/>
              <w:rPr>
                <w:rFonts w:eastAsia="標楷體" w:hint="eastAsia"/>
                <w:szCs w:val="24"/>
              </w:rPr>
            </w:pPr>
          </w:p>
        </w:tc>
        <w:tc>
          <w:tcPr>
            <w:tcW w:w="840" w:type="dxa"/>
            <w:vAlign w:val="center"/>
          </w:tcPr>
          <w:p w:rsidR="002911F3" w:rsidRPr="00502912" w:rsidRDefault="002911F3" w:rsidP="002911F3">
            <w:pPr>
              <w:snapToGrid w:val="0"/>
              <w:spacing w:beforeLines="30" w:afterLines="30"/>
              <w:jc w:val="center"/>
              <w:rPr>
                <w:rFonts w:eastAsia="標楷體"/>
                <w:szCs w:val="24"/>
              </w:rPr>
            </w:pPr>
          </w:p>
        </w:tc>
      </w:tr>
    </w:tbl>
    <w:p w:rsidR="00502912" w:rsidRDefault="00502912" w:rsidP="002911F3">
      <w:pPr>
        <w:snapToGrid w:val="0"/>
        <w:spacing w:line="360" w:lineRule="auto"/>
        <w:ind w:left="540" w:rightChars="-206" w:right="-494" w:hangingChars="225" w:hanging="540"/>
        <w:jc w:val="both"/>
        <w:rPr>
          <w:rFonts w:ascii="標楷體" w:eastAsia="標楷體" w:hAnsi="標楷體" w:hint="eastAsia"/>
          <w:szCs w:val="24"/>
        </w:rPr>
      </w:pPr>
    </w:p>
    <w:p w:rsidR="002911F3" w:rsidRPr="00502912" w:rsidRDefault="002911F3" w:rsidP="00502912">
      <w:pPr>
        <w:snapToGrid w:val="0"/>
        <w:spacing w:line="360" w:lineRule="auto"/>
        <w:ind w:left="540" w:rightChars="150" w:right="360" w:hangingChars="225" w:hanging="540"/>
        <w:jc w:val="both"/>
        <w:rPr>
          <w:rFonts w:eastAsia="標楷體" w:hint="eastAsia"/>
          <w:szCs w:val="24"/>
        </w:rPr>
      </w:pPr>
      <w:r w:rsidRPr="00502912">
        <w:rPr>
          <w:rFonts w:ascii="標楷體" w:eastAsia="標楷體" w:hAnsi="標楷體" w:hint="eastAsia"/>
          <w:szCs w:val="24"/>
        </w:rPr>
        <w:t>★</w:t>
      </w:r>
      <w:r w:rsidRPr="00502912">
        <w:rPr>
          <w:rFonts w:eastAsia="標楷體" w:hint="eastAsia"/>
          <w:szCs w:val="24"/>
        </w:rPr>
        <w:t xml:space="preserve">1. </w:t>
      </w:r>
      <w:r w:rsidRPr="00502912">
        <w:rPr>
          <w:rFonts w:eastAsia="標楷體" w:hint="eastAsia"/>
          <w:szCs w:val="24"/>
        </w:rPr>
        <w:t>代碼</w:t>
      </w:r>
      <w:r w:rsidRPr="00502912">
        <w:rPr>
          <w:rFonts w:eastAsia="標楷體"/>
          <w:szCs w:val="24"/>
        </w:rPr>
        <w:t>”</w:t>
      </w:r>
      <w:r w:rsidRPr="00502912">
        <w:rPr>
          <w:rFonts w:eastAsia="標楷體" w:hint="eastAsia"/>
          <w:szCs w:val="24"/>
        </w:rPr>
        <w:t>N</w:t>
      </w:r>
      <w:r w:rsidRPr="00502912">
        <w:rPr>
          <w:rFonts w:eastAsia="標楷體"/>
          <w:szCs w:val="24"/>
        </w:rPr>
        <w:t>”</w:t>
      </w:r>
      <w:r w:rsidRPr="00502912">
        <w:rPr>
          <w:rFonts w:eastAsia="標楷體" w:hint="eastAsia"/>
          <w:szCs w:val="24"/>
        </w:rPr>
        <w:t>之塑橡膠係指非聚乙（丙）烯類之小件易燃塑橡膠（如小尺寸試管、幾何形狀簡單者）；代碼</w:t>
      </w:r>
      <w:r w:rsidRPr="00502912">
        <w:rPr>
          <w:rFonts w:eastAsia="標楷體"/>
          <w:szCs w:val="24"/>
        </w:rPr>
        <w:t>”</w:t>
      </w:r>
      <w:r w:rsidRPr="00502912">
        <w:rPr>
          <w:rFonts w:eastAsia="標楷體" w:hint="eastAsia"/>
          <w:szCs w:val="24"/>
        </w:rPr>
        <w:t>NN</w:t>
      </w:r>
      <w:r w:rsidRPr="00502912">
        <w:rPr>
          <w:rFonts w:eastAsia="標楷體"/>
          <w:szCs w:val="24"/>
        </w:rPr>
        <w:t>”</w:t>
      </w:r>
      <w:r w:rsidRPr="00502912">
        <w:rPr>
          <w:rFonts w:eastAsia="標楷體" w:hint="eastAsia"/>
          <w:szCs w:val="24"/>
        </w:rPr>
        <w:t>之非燃塑橡膠則指非聚乙（丙）烯類大件不易燃塑橡膠（如較大尺寸管閥件、未經粉碎破壞之塑膠成品組件等）。</w:t>
      </w:r>
    </w:p>
    <w:p w:rsidR="002911F3" w:rsidRPr="00502912" w:rsidRDefault="002911F3" w:rsidP="00502912">
      <w:pPr>
        <w:snapToGrid w:val="0"/>
        <w:spacing w:line="360" w:lineRule="auto"/>
        <w:ind w:left="540" w:rightChars="150" w:right="360" w:hangingChars="225" w:hanging="540"/>
        <w:jc w:val="both"/>
        <w:rPr>
          <w:rFonts w:eastAsia="標楷體" w:hint="eastAsia"/>
          <w:szCs w:val="24"/>
        </w:rPr>
      </w:pPr>
      <w:r w:rsidRPr="00502912">
        <w:rPr>
          <w:rFonts w:ascii="標楷體" w:eastAsia="標楷體" w:hAnsi="標楷體" w:hint="eastAsia"/>
          <w:szCs w:val="24"/>
        </w:rPr>
        <w:t>★</w:t>
      </w:r>
      <w:r w:rsidRPr="00502912">
        <w:rPr>
          <w:rFonts w:eastAsia="標楷體" w:hint="eastAsia"/>
          <w:szCs w:val="24"/>
        </w:rPr>
        <w:t xml:space="preserve">2. </w:t>
      </w:r>
      <w:r w:rsidRPr="00502912">
        <w:rPr>
          <w:rFonts w:eastAsia="標楷體" w:hint="eastAsia"/>
          <w:szCs w:val="24"/>
        </w:rPr>
        <w:t>混合廢棄物之代碼取廢棄物中成份比例最大者，代碼前加</w:t>
      </w:r>
      <w:r w:rsidRPr="00502912">
        <w:rPr>
          <w:rFonts w:eastAsia="標楷體"/>
          <w:szCs w:val="24"/>
        </w:rPr>
        <w:t>”M”</w:t>
      </w:r>
      <w:r w:rsidRPr="00502912">
        <w:rPr>
          <w:rFonts w:eastAsia="標楷體" w:hint="eastAsia"/>
          <w:szCs w:val="24"/>
        </w:rPr>
        <w:t>字表示。如混合廢棄物中鐵成份佔多數，則其代碼為</w:t>
      </w:r>
      <w:r w:rsidRPr="00502912">
        <w:rPr>
          <w:rFonts w:eastAsia="標楷體"/>
          <w:szCs w:val="24"/>
        </w:rPr>
        <w:t>”M</w:t>
      </w:r>
      <w:r w:rsidRPr="00502912">
        <w:rPr>
          <w:rFonts w:eastAsia="標楷體" w:hint="eastAsia"/>
          <w:szCs w:val="24"/>
        </w:rPr>
        <w:t>-</w:t>
      </w:r>
      <w:r w:rsidRPr="00502912">
        <w:rPr>
          <w:rFonts w:eastAsia="標楷體"/>
          <w:szCs w:val="24"/>
        </w:rPr>
        <w:t>I”</w:t>
      </w:r>
      <w:r w:rsidRPr="00502912">
        <w:rPr>
          <w:rFonts w:eastAsia="標楷體" w:hint="eastAsia"/>
          <w:szCs w:val="24"/>
        </w:rPr>
        <w:t>。</w:t>
      </w:r>
    </w:p>
    <w:p w:rsidR="00B97347" w:rsidRDefault="00B97347" w:rsidP="00B97347">
      <w:pPr>
        <w:rPr>
          <w:rFonts w:hint="eastAsia"/>
          <w:szCs w:val="24"/>
        </w:rPr>
      </w:pPr>
    </w:p>
    <w:p w:rsidR="00BD5F10" w:rsidRDefault="00BD5F10" w:rsidP="00B97347">
      <w:pPr>
        <w:rPr>
          <w:rFonts w:hint="eastAsia"/>
          <w:szCs w:val="24"/>
        </w:rPr>
      </w:pPr>
    </w:p>
    <w:p w:rsidR="00BD5F10" w:rsidRDefault="00BD5F10" w:rsidP="00B97347">
      <w:pPr>
        <w:rPr>
          <w:rFonts w:hint="eastAsia"/>
          <w:szCs w:val="24"/>
        </w:rPr>
      </w:pPr>
    </w:p>
    <w:p w:rsidR="00BD5F10" w:rsidRDefault="00BD5F10" w:rsidP="00B97347">
      <w:pPr>
        <w:rPr>
          <w:rFonts w:hint="eastAsia"/>
          <w:szCs w:val="24"/>
        </w:rPr>
      </w:pPr>
    </w:p>
    <w:p w:rsidR="00BD5F10" w:rsidRDefault="00BD5F10" w:rsidP="00B97347">
      <w:pPr>
        <w:rPr>
          <w:rFonts w:hint="eastAsia"/>
          <w:szCs w:val="24"/>
        </w:rPr>
      </w:pPr>
    </w:p>
    <w:p w:rsidR="00BD5F10" w:rsidRDefault="00BD5F10" w:rsidP="00B97347">
      <w:pPr>
        <w:rPr>
          <w:rFonts w:hint="eastAsia"/>
          <w:szCs w:val="24"/>
        </w:rPr>
      </w:pPr>
    </w:p>
    <w:p w:rsidR="00BD5F10" w:rsidRDefault="00BD5F10" w:rsidP="00B97347">
      <w:pPr>
        <w:rPr>
          <w:rFonts w:hint="eastAsia"/>
          <w:szCs w:val="24"/>
        </w:rPr>
      </w:pPr>
    </w:p>
    <w:p w:rsidR="00BD5F10" w:rsidRDefault="00BD5F10" w:rsidP="00B97347">
      <w:pPr>
        <w:rPr>
          <w:rFonts w:hint="eastAsia"/>
          <w:szCs w:val="24"/>
        </w:rPr>
      </w:pPr>
    </w:p>
    <w:p w:rsidR="00BD5F10" w:rsidRDefault="00031819" w:rsidP="00B97347">
      <w:pPr>
        <w:rPr>
          <w:szCs w:val="24"/>
        </w:rPr>
      </w:pPr>
      <w:r>
        <w:rPr>
          <w:noProof/>
          <w:szCs w:val="24"/>
        </w:rPr>
        <w:drawing>
          <wp:inline distT="0" distB="0" distL="0" distR="0">
            <wp:extent cx="3117850" cy="3486150"/>
            <wp:effectExtent l="1905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17850" cy="3486150"/>
                    </a:xfrm>
                    <a:prstGeom prst="rect">
                      <a:avLst/>
                    </a:prstGeom>
                    <a:noFill/>
                    <a:ln w="9525">
                      <a:noFill/>
                      <a:miter lim="800000"/>
                      <a:headEnd/>
                      <a:tailEnd/>
                    </a:ln>
                  </pic:spPr>
                </pic:pic>
              </a:graphicData>
            </a:graphic>
          </wp:inline>
        </w:drawing>
      </w:r>
    </w:p>
    <w:p w:rsidR="00BD5F10" w:rsidRDefault="00BD5F10" w:rsidP="00BD5F10">
      <w:pPr>
        <w:pStyle w:val="Default"/>
      </w:pPr>
      <w:r>
        <w:rPr>
          <w:rFonts w:hint="eastAsia"/>
        </w:rPr>
        <w:t xml:space="preserve">   圖一：可燃性固體放射性廢棄物收集紙箱</w:t>
      </w:r>
      <w:r>
        <w:t xml:space="preserve"> </w:t>
      </w:r>
    </w:p>
    <w:p w:rsidR="00BD5F10" w:rsidRDefault="00031819" w:rsidP="00BD5F10">
      <w:pPr>
        <w:ind w:firstLineChars="200" w:firstLine="480"/>
        <w:rPr>
          <w:szCs w:val="24"/>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3076575" cy="2886075"/>
            <wp:effectExtent l="19050" t="0" r="9525" b="0"/>
            <wp:wrapThrough wrapText="bothSides">
              <wp:wrapPolygon edited="0">
                <wp:start x="-134" y="0"/>
                <wp:lineTo x="-134" y="21529"/>
                <wp:lineTo x="21667" y="21529"/>
                <wp:lineTo x="21667" y="0"/>
                <wp:lineTo x="-134"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76575" cy="2886075"/>
                    </a:xfrm>
                    <a:prstGeom prst="rect">
                      <a:avLst/>
                    </a:prstGeom>
                    <a:noFill/>
                    <a:ln w="9525">
                      <a:noFill/>
                      <a:miter lim="800000"/>
                      <a:headEnd/>
                      <a:tailEnd/>
                    </a:ln>
                  </pic:spPr>
                </pic:pic>
              </a:graphicData>
            </a:graphic>
          </wp:anchor>
        </w:drawing>
      </w:r>
    </w:p>
    <w:p w:rsidR="00BD5F10" w:rsidRDefault="00BD5F10" w:rsidP="00BD5F10">
      <w:pPr>
        <w:pStyle w:val="Default"/>
        <w:rPr>
          <w:rFonts w:hint="eastAsia"/>
        </w:rPr>
      </w:pPr>
      <w:r>
        <w:tab/>
      </w: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rPr>
          <w:rFonts w:hint="eastAsia"/>
        </w:rPr>
      </w:pPr>
    </w:p>
    <w:p w:rsidR="00BD5F10" w:rsidRDefault="00BD5F10" w:rsidP="00BD5F10">
      <w:pPr>
        <w:pStyle w:val="Default"/>
      </w:pPr>
      <w:r>
        <w:rPr>
          <w:rFonts w:hint="eastAsia"/>
        </w:rPr>
        <w:t xml:space="preserve">  圖二：放射性廢棄物標誌</w:t>
      </w:r>
      <w:r>
        <w:t xml:space="preserve"> </w:t>
      </w:r>
    </w:p>
    <w:p w:rsidR="00BD5F10" w:rsidRPr="00BD5F10" w:rsidRDefault="00BD5F10" w:rsidP="00BD5F10">
      <w:pPr>
        <w:tabs>
          <w:tab w:val="left" w:pos="1035"/>
        </w:tabs>
        <w:rPr>
          <w:szCs w:val="24"/>
        </w:rPr>
      </w:pPr>
    </w:p>
    <w:sectPr w:rsidR="00BD5F10" w:rsidRPr="00BD5F10" w:rsidSect="00E567F3">
      <w:footerReference w:type="even" r:id="rId9"/>
      <w:footerReference w:type="default" r:id="rId10"/>
      <w:pgSz w:w="11906" w:h="16838"/>
      <w:pgMar w:top="899" w:right="926" w:bottom="719" w:left="1080" w:header="851" w:footer="43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6A" w:rsidRDefault="00687C6A">
      <w:r>
        <w:separator/>
      </w:r>
    </w:p>
  </w:endnote>
  <w:endnote w:type="continuationSeparator" w:id="0">
    <w:p w:rsidR="00687C6A" w:rsidRDefault="00687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1D" w:rsidRDefault="00D4151D" w:rsidP="002E7C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151D" w:rsidRDefault="00D415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1D" w:rsidRDefault="00D4151D" w:rsidP="002E7C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1819">
      <w:rPr>
        <w:rStyle w:val="a5"/>
        <w:noProof/>
      </w:rPr>
      <w:t>1</w:t>
    </w:r>
    <w:r>
      <w:rPr>
        <w:rStyle w:val="a5"/>
      </w:rPr>
      <w:fldChar w:fldCharType="end"/>
    </w:r>
  </w:p>
  <w:p w:rsidR="00D4151D" w:rsidRDefault="00D415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6A" w:rsidRDefault="00687C6A">
      <w:r>
        <w:separator/>
      </w:r>
    </w:p>
  </w:footnote>
  <w:footnote w:type="continuationSeparator" w:id="0">
    <w:p w:rsidR="00687C6A" w:rsidRDefault="00687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577C"/>
    <w:multiLevelType w:val="multilevel"/>
    <w:tmpl w:val="7182FE2C"/>
    <w:lvl w:ilvl="0">
      <w:start w:val="2"/>
      <w:numFmt w:val="taiwaneseCountingThousand"/>
      <w:lvlText w:val="（%1）"/>
      <w:lvlJc w:val="left"/>
      <w:pPr>
        <w:tabs>
          <w:tab w:val="num" w:pos="720"/>
        </w:tabs>
        <w:ind w:left="720" w:hanging="720"/>
      </w:pPr>
      <w:rPr>
        <w:rFonts w:eastAsia="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28B27E36"/>
    <w:multiLevelType w:val="multilevel"/>
    <w:tmpl w:val="6232969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3B6D0161"/>
    <w:multiLevelType w:val="multilevel"/>
    <w:tmpl w:val="0EF4EBEA"/>
    <w:lvl w:ilvl="0">
      <w:start w:val="1"/>
      <w:numFmt w:val="taiwaneseCountingThousand"/>
      <w:lvlText w:val="（%1）"/>
      <w:lvlJc w:val="left"/>
      <w:pPr>
        <w:tabs>
          <w:tab w:val="num" w:pos="720"/>
        </w:tabs>
        <w:ind w:left="720" w:hanging="720"/>
      </w:pPr>
      <w:rPr>
        <w:rFonts w:ascii="Times New Roman" w:eastAsia="標楷體"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747E5013"/>
    <w:multiLevelType w:val="hybridMultilevel"/>
    <w:tmpl w:val="26B8E038"/>
    <w:lvl w:ilvl="0" w:tplc="F21E31B0">
      <w:start w:val="1"/>
      <w:numFmt w:val="taiwaneseCountingThousand"/>
      <w:lvlText w:val="（%1）"/>
      <w:lvlJc w:val="left"/>
      <w:pPr>
        <w:tabs>
          <w:tab w:val="num" w:pos="720"/>
        </w:tabs>
        <w:ind w:left="720" w:hanging="72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347"/>
    <w:rsid w:val="00031819"/>
    <w:rsid w:val="00051549"/>
    <w:rsid w:val="000D3E9D"/>
    <w:rsid w:val="001262A9"/>
    <w:rsid w:val="002911F3"/>
    <w:rsid w:val="002E7C1A"/>
    <w:rsid w:val="00502912"/>
    <w:rsid w:val="00670C87"/>
    <w:rsid w:val="00687C6A"/>
    <w:rsid w:val="008808F1"/>
    <w:rsid w:val="00A93E5D"/>
    <w:rsid w:val="00B97347"/>
    <w:rsid w:val="00BD5F10"/>
    <w:rsid w:val="00D4151D"/>
    <w:rsid w:val="00E567F3"/>
    <w:rsid w:val="00F67A72"/>
    <w:rsid w:val="00FF6D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347"/>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97347"/>
    <w:rPr>
      <w:color w:val="0000FF"/>
      <w:u w:val="single"/>
    </w:rPr>
  </w:style>
  <w:style w:type="paragraph" w:styleId="a4">
    <w:name w:val="footer"/>
    <w:basedOn w:val="a"/>
    <w:rsid w:val="000D3E9D"/>
    <w:pPr>
      <w:tabs>
        <w:tab w:val="center" w:pos="4153"/>
        <w:tab w:val="right" w:pos="8306"/>
      </w:tabs>
      <w:snapToGrid w:val="0"/>
    </w:pPr>
    <w:rPr>
      <w:sz w:val="20"/>
    </w:rPr>
  </w:style>
  <w:style w:type="character" w:styleId="a5">
    <w:name w:val="page number"/>
    <w:basedOn w:val="a0"/>
    <w:rsid w:val="000D3E9D"/>
  </w:style>
  <w:style w:type="paragraph" w:styleId="a6">
    <w:name w:val="header"/>
    <w:basedOn w:val="a"/>
    <w:rsid w:val="00E567F3"/>
    <w:pPr>
      <w:tabs>
        <w:tab w:val="center" w:pos="4153"/>
        <w:tab w:val="right" w:pos="8306"/>
      </w:tabs>
      <w:snapToGrid w:val="0"/>
    </w:pPr>
    <w:rPr>
      <w:sz w:val="20"/>
    </w:rPr>
  </w:style>
  <w:style w:type="paragraph" w:styleId="Web">
    <w:name w:val="Normal (Web)"/>
    <w:basedOn w:val="a"/>
    <w:rsid w:val="002911F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BD5F1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361</Words>
  <Characters>2058</Characters>
  <Application>Microsoft Office Word</Application>
  <DocSecurity>4</DocSecurity>
  <Lines>17</Lines>
  <Paragraphs>4</Paragraphs>
  <ScaleCrop>false</ScaleCrop>
  <Company>台大環安衛中心</Company>
  <LinksUpToDate>false</LinksUpToDate>
  <CharactersWithSpaces>2415</CharactersWithSpaces>
  <SharedDoc>false</SharedDoc>
  <HLinks>
    <vt:vector size="6" baseType="variant">
      <vt:variant>
        <vt:i4>1309247592</vt:i4>
      </vt:variant>
      <vt:variant>
        <vt:i4>0</vt:i4>
      </vt:variant>
      <vt:variant>
        <vt:i4>0</vt:i4>
      </vt:variant>
      <vt:variant>
        <vt:i4>5</vt:i4>
      </vt:variant>
      <vt:variant>
        <vt:lpwstr/>
      </vt:variant>
      <vt:variant>
        <vt:lpwstr>表三</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一、、放射性廢棄物應符合下列條件：</dc:title>
  <dc:creator>EPC</dc:creator>
  <cp:lastModifiedBy>user</cp:lastModifiedBy>
  <cp:revision>2</cp:revision>
  <cp:lastPrinted>2008-05-27T01:00:00Z</cp:lastPrinted>
  <dcterms:created xsi:type="dcterms:W3CDTF">2012-06-25T03:27:00Z</dcterms:created>
  <dcterms:modified xsi:type="dcterms:W3CDTF">2012-06-25T03:27:00Z</dcterms:modified>
</cp:coreProperties>
</file>